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A46A3" w14:textId="6CE60E18" w:rsidR="00700EF5" w:rsidRPr="006D7DD4" w:rsidRDefault="00700EF5" w:rsidP="00717A7A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en-US"/>
        </w:rPr>
      </w:pPr>
      <w:r w:rsidRPr="006D7DD4">
        <w:rPr>
          <w:rFonts w:ascii="Arial" w:hAnsi="Arial" w:cs="Arial"/>
          <w:lang w:val="en-US"/>
        </w:rPr>
        <w:t>3GPP TSG-RAN WG2 #</w:t>
      </w:r>
      <w:r w:rsidR="006D1E26" w:rsidRPr="006D7DD4">
        <w:rPr>
          <w:rFonts w:ascii="Arial" w:hAnsi="Arial" w:cs="Arial"/>
          <w:lang w:val="en-US"/>
        </w:rPr>
        <w:t>10</w:t>
      </w:r>
      <w:r w:rsidR="00C656B3" w:rsidRPr="006D7DD4">
        <w:rPr>
          <w:rFonts w:ascii="Arial" w:hAnsi="Arial" w:cs="Arial"/>
          <w:lang w:val="en-US"/>
        </w:rPr>
        <w:t>7</w:t>
      </w:r>
      <w:r w:rsidR="00AC418F" w:rsidRPr="006D7DD4">
        <w:rPr>
          <w:rFonts w:ascii="Arial" w:hAnsi="Arial" w:cs="Arial"/>
          <w:lang w:val="en-US"/>
        </w:rPr>
        <w:t>bis</w:t>
      </w:r>
      <w:r w:rsidRPr="006D7DD4">
        <w:rPr>
          <w:rFonts w:ascii="Arial" w:hAnsi="Arial" w:cs="Arial"/>
          <w:lang w:val="en-US"/>
        </w:rPr>
        <w:tab/>
      </w:r>
      <w:bookmarkStart w:id="0" w:name="_GoBack"/>
      <w:bookmarkEnd w:id="0"/>
      <w:r w:rsidR="00B82F8F" w:rsidRPr="006D7DD4">
        <w:rPr>
          <w:rFonts w:ascii="Arial" w:hAnsi="Arial" w:cs="Arial"/>
          <w:sz w:val="32"/>
          <w:szCs w:val="32"/>
          <w:lang w:val="en-US"/>
        </w:rPr>
        <w:t>R2-1912542</w:t>
      </w:r>
    </w:p>
    <w:p w14:paraId="6D5D4D70" w14:textId="4611D92C" w:rsidR="00E90E49" w:rsidRPr="006D7DD4" w:rsidRDefault="008260DF" w:rsidP="00717A7A">
      <w:pPr>
        <w:pStyle w:val="3GPPHeader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>Chongqing, China, 14th – 18th October 2019</w:t>
      </w:r>
      <w:r w:rsidR="00AC418F" w:rsidRPr="006D7DD4">
        <w:rPr>
          <w:rFonts w:ascii="Arial" w:hAnsi="Arial" w:cs="Arial"/>
          <w:lang w:val="en-US"/>
        </w:rPr>
        <w:tab/>
        <w:t>Resubmission of R2-1910242</w:t>
      </w:r>
    </w:p>
    <w:p w14:paraId="36E3B144" w14:textId="77777777" w:rsidR="008260DF" w:rsidRPr="006D7DD4" w:rsidRDefault="008260DF" w:rsidP="00717A7A">
      <w:pPr>
        <w:pStyle w:val="3GPPHeader"/>
        <w:rPr>
          <w:rFonts w:ascii="Arial" w:hAnsi="Arial" w:cs="Arial"/>
          <w:lang w:val="en-US"/>
        </w:rPr>
      </w:pPr>
    </w:p>
    <w:p w14:paraId="2F70AA5D" w14:textId="294A31BD" w:rsidR="00E90E49" w:rsidRPr="006D7DD4" w:rsidRDefault="00E90E49" w:rsidP="00717A7A">
      <w:pPr>
        <w:pStyle w:val="3GPPHeader"/>
        <w:rPr>
          <w:rFonts w:ascii="Arial" w:hAnsi="Arial" w:cs="Arial"/>
          <w:sz w:val="22"/>
          <w:lang w:val="en-US"/>
        </w:rPr>
      </w:pPr>
      <w:r w:rsidRPr="006D7DD4">
        <w:rPr>
          <w:rFonts w:ascii="Arial" w:hAnsi="Arial" w:cs="Arial"/>
          <w:sz w:val="22"/>
          <w:lang w:val="en-US"/>
        </w:rPr>
        <w:t>Agenda Item:</w:t>
      </w:r>
      <w:r w:rsidRPr="006D7DD4">
        <w:rPr>
          <w:rFonts w:ascii="Arial" w:hAnsi="Arial" w:cs="Arial"/>
          <w:sz w:val="22"/>
          <w:lang w:val="en-US"/>
        </w:rPr>
        <w:tab/>
      </w:r>
      <w:r w:rsidR="00B82F8F" w:rsidRPr="006D7DD4">
        <w:rPr>
          <w:rFonts w:ascii="Arial" w:hAnsi="Arial" w:cs="Arial"/>
          <w:sz w:val="22"/>
          <w:lang w:val="en-US"/>
        </w:rPr>
        <w:t>6.10.2</w:t>
      </w:r>
    </w:p>
    <w:p w14:paraId="10448230" w14:textId="77777777" w:rsidR="00E90E49" w:rsidRPr="006D7DD4" w:rsidRDefault="003D3C45" w:rsidP="00717A7A">
      <w:pPr>
        <w:pStyle w:val="3GPPHeader"/>
        <w:rPr>
          <w:rFonts w:ascii="Arial" w:hAnsi="Arial" w:cs="Arial"/>
          <w:sz w:val="22"/>
          <w:lang w:val="en-US"/>
        </w:rPr>
      </w:pPr>
      <w:r w:rsidRPr="006D7DD4">
        <w:rPr>
          <w:rFonts w:ascii="Arial" w:hAnsi="Arial" w:cs="Arial"/>
          <w:sz w:val="22"/>
          <w:lang w:val="en-US"/>
        </w:rPr>
        <w:t>Source:</w:t>
      </w:r>
      <w:r w:rsidR="00E90E49" w:rsidRPr="006D7DD4">
        <w:rPr>
          <w:rFonts w:ascii="Arial" w:hAnsi="Arial" w:cs="Arial"/>
          <w:sz w:val="22"/>
          <w:lang w:val="en-US"/>
        </w:rPr>
        <w:tab/>
      </w:r>
      <w:r w:rsidR="00F64C2B" w:rsidRPr="006D7DD4">
        <w:rPr>
          <w:rFonts w:ascii="Arial" w:hAnsi="Arial" w:cs="Arial"/>
          <w:sz w:val="22"/>
          <w:lang w:val="en-US"/>
        </w:rPr>
        <w:t>Ericsson</w:t>
      </w:r>
    </w:p>
    <w:p w14:paraId="2F431B18" w14:textId="7B9D5A40" w:rsidR="00E90E49" w:rsidRPr="006D7DD4" w:rsidRDefault="003D3C45" w:rsidP="00717A7A">
      <w:pPr>
        <w:pStyle w:val="3GPPHeader"/>
        <w:rPr>
          <w:rFonts w:ascii="Arial" w:hAnsi="Arial" w:cs="Arial"/>
          <w:sz w:val="22"/>
          <w:lang w:val="en-US"/>
        </w:rPr>
      </w:pPr>
      <w:r w:rsidRPr="006D7DD4">
        <w:rPr>
          <w:rFonts w:ascii="Arial" w:hAnsi="Arial" w:cs="Arial"/>
          <w:sz w:val="22"/>
          <w:lang w:val="en-US"/>
        </w:rPr>
        <w:t>Title:</w:t>
      </w:r>
      <w:r w:rsidR="00E90E49" w:rsidRPr="006D7DD4">
        <w:rPr>
          <w:rFonts w:ascii="Arial" w:hAnsi="Arial" w:cs="Arial"/>
          <w:sz w:val="22"/>
          <w:lang w:val="en-US"/>
        </w:rPr>
        <w:tab/>
      </w:r>
      <w:r w:rsidR="009B5EAD" w:rsidRPr="006D7DD4">
        <w:rPr>
          <w:rFonts w:ascii="Arial" w:hAnsi="Arial" w:cs="Arial"/>
          <w:sz w:val="22"/>
          <w:lang w:val="en-US"/>
        </w:rPr>
        <w:t>NR-DC power control</w:t>
      </w:r>
    </w:p>
    <w:p w14:paraId="3C732F47" w14:textId="77777777" w:rsidR="00E90E49" w:rsidRPr="006D7DD4" w:rsidRDefault="00E90E49" w:rsidP="00717A7A">
      <w:pPr>
        <w:pStyle w:val="3GPPHeader"/>
        <w:rPr>
          <w:rFonts w:ascii="Arial" w:hAnsi="Arial" w:cs="Arial"/>
          <w:sz w:val="22"/>
          <w:lang w:val="en-US"/>
        </w:rPr>
      </w:pPr>
      <w:r w:rsidRPr="006D7DD4">
        <w:rPr>
          <w:rFonts w:ascii="Arial" w:hAnsi="Arial" w:cs="Arial"/>
          <w:sz w:val="22"/>
          <w:lang w:val="en-US"/>
        </w:rPr>
        <w:t>Document for:</w:t>
      </w:r>
      <w:r w:rsidRPr="006D7DD4">
        <w:rPr>
          <w:rFonts w:ascii="Arial" w:hAnsi="Arial" w:cs="Arial"/>
          <w:sz w:val="22"/>
          <w:lang w:val="en-US"/>
        </w:rPr>
        <w:tab/>
        <w:t>Discussion, Decision</w:t>
      </w:r>
    </w:p>
    <w:p w14:paraId="6BDC7985" w14:textId="77777777" w:rsidR="00C24345" w:rsidRPr="008306CE" w:rsidRDefault="00E90E49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Introduction</w:t>
      </w:r>
    </w:p>
    <w:p w14:paraId="571ABE90" w14:textId="0A3FA9A4" w:rsidR="00F24BC3" w:rsidRPr="006D7DD4" w:rsidRDefault="00F24BC3" w:rsidP="00F24BC3">
      <w:pPr>
        <w:pStyle w:val="BodyText"/>
        <w:rPr>
          <w:rFonts w:ascii="Arial" w:hAnsi="Arial" w:cs="Arial"/>
          <w:lang w:val="en-US"/>
        </w:rPr>
      </w:pPr>
      <w:bookmarkStart w:id="1" w:name="_Ref178064866"/>
      <w:r w:rsidRPr="006D7DD4">
        <w:rPr>
          <w:rFonts w:ascii="Arial" w:hAnsi="Arial" w:cs="Arial"/>
          <w:lang w:val="en-US"/>
        </w:rPr>
        <w:t>In Rel-15 late drop, only cell group independent power control was supported for NR-DC, since MCG operated only in FR1 and SCG in FR2. For Rel-16, the discussion is still ongoing in RAN1, but it is likely that there will be support for NR-DC operation where M</w:t>
      </w:r>
      <w:r w:rsidR="00D04D3F" w:rsidRPr="006D7DD4">
        <w:rPr>
          <w:rFonts w:ascii="Arial" w:hAnsi="Arial" w:cs="Arial"/>
          <w:lang w:val="en-US"/>
        </w:rPr>
        <w:t>C</w:t>
      </w:r>
      <w:r w:rsidRPr="006D7DD4">
        <w:rPr>
          <w:rFonts w:ascii="Arial" w:hAnsi="Arial" w:cs="Arial"/>
          <w:lang w:val="en-US"/>
        </w:rPr>
        <w:t>G and SCG may both operate in FR1 and/or FR2, and thus there will most likely be a need for power coordination across cell groups. In this contribution, we study the impact on RAN2 signaling.</w:t>
      </w:r>
    </w:p>
    <w:p w14:paraId="4B937031" w14:textId="0FBAD2EA" w:rsidR="00F24BC3" w:rsidRDefault="004000E8" w:rsidP="00F24BC3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Discussion</w:t>
      </w:r>
      <w:bookmarkEnd w:id="1"/>
    </w:p>
    <w:p w14:paraId="63B28A4B" w14:textId="34046304" w:rsidR="000507B7" w:rsidRDefault="000507B7" w:rsidP="000507B7">
      <w:pPr>
        <w:pStyle w:val="Heading2"/>
        <w:rPr>
          <w:rFonts w:eastAsia="Calibri"/>
        </w:rPr>
      </w:pPr>
      <w:r>
        <w:rPr>
          <w:rFonts w:eastAsia="Calibri"/>
        </w:rPr>
        <w:t>Power configuration</w:t>
      </w:r>
    </w:p>
    <w:p w14:paraId="71D9E5F8" w14:textId="64BDE2CC" w:rsidR="002140E7" w:rsidRPr="006D7DD4" w:rsidRDefault="002140E7" w:rsidP="002140E7">
      <w:pPr>
        <w:spacing w:after="0" w:line="240" w:lineRule="auto"/>
        <w:rPr>
          <w:rFonts w:ascii="Arial" w:eastAsia="Calibri" w:hAnsi="Arial" w:cs="Arial"/>
          <w:lang w:val="en-US"/>
        </w:rPr>
      </w:pPr>
      <w:r w:rsidRPr="006D7DD4">
        <w:rPr>
          <w:rFonts w:ascii="Arial" w:eastAsia="Calibri" w:hAnsi="Arial" w:cs="Arial"/>
          <w:lang w:val="en-US"/>
        </w:rPr>
        <w:t xml:space="preserve">We start by revisiting the parameters used in Rel-15 </w:t>
      </w:r>
      <w:r w:rsidR="004434C4" w:rsidRPr="006D7DD4">
        <w:rPr>
          <w:rFonts w:ascii="Arial" w:eastAsia="Calibri" w:hAnsi="Arial" w:cs="Arial"/>
          <w:lang w:val="en-US"/>
        </w:rPr>
        <w:t xml:space="preserve">to control the transmit power for NR cell groups. </w:t>
      </w:r>
      <w:r w:rsidRPr="006D7DD4">
        <w:rPr>
          <w:rFonts w:ascii="Arial" w:eastAsia="Calibri" w:hAnsi="Arial" w:cs="Arial"/>
          <w:lang w:val="en-US"/>
        </w:rPr>
        <w:t>In NR</w:t>
      </w:r>
      <w:r w:rsidR="00774562" w:rsidRPr="006D7DD4">
        <w:rPr>
          <w:rFonts w:ascii="Arial" w:eastAsia="Calibri" w:hAnsi="Arial" w:cs="Arial"/>
          <w:lang w:val="en-US"/>
        </w:rPr>
        <w:t xml:space="preserve"> RRC</w:t>
      </w:r>
      <w:r w:rsidRPr="006D7DD4">
        <w:rPr>
          <w:rFonts w:ascii="Arial" w:eastAsia="Calibri" w:hAnsi="Arial" w:cs="Arial"/>
          <w:lang w:val="en-US"/>
        </w:rPr>
        <w:t xml:space="preserve">, the following fields in </w:t>
      </w:r>
      <w:r w:rsidRPr="006D7DD4">
        <w:rPr>
          <w:rFonts w:ascii="Arial" w:eastAsia="Calibri" w:hAnsi="Arial" w:cs="Arial"/>
          <w:i/>
          <w:iCs/>
          <w:lang w:val="en-US"/>
        </w:rPr>
        <w:t>PhysicalCellGroupConfig</w:t>
      </w:r>
      <w:r w:rsidRPr="006D7DD4">
        <w:rPr>
          <w:rFonts w:ascii="Arial" w:eastAsia="Calibri" w:hAnsi="Arial" w:cs="Arial"/>
          <w:lang w:val="en-US"/>
        </w:rPr>
        <w:t xml:space="preserve"> where used to configure the transmit power for FR1: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2140E7" w:rsidRPr="006D7DD4" w14:paraId="195AF400" w14:textId="77777777" w:rsidTr="008260DF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44F8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p-NR-FR1</w:t>
            </w:r>
          </w:p>
          <w:p w14:paraId="085AAAE6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p-Max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and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p-UE-FR1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total for all serving cells operating on FR1).</w:t>
            </w:r>
          </w:p>
        </w:tc>
      </w:tr>
      <w:tr w:rsidR="002140E7" w:rsidRPr="006D7DD4" w14:paraId="4E733F9D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718D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p-UE-FR1</w:t>
            </w:r>
          </w:p>
          <w:p w14:paraId="6FC407FC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) and by p-NR-FR1 (configured for the cell group).</w:t>
            </w:r>
          </w:p>
        </w:tc>
      </w:tr>
    </w:tbl>
    <w:p w14:paraId="0D3A05A5" w14:textId="4E7BA8A3" w:rsidR="002140E7" w:rsidRDefault="002140E7" w:rsidP="002140E7">
      <w:pPr>
        <w:rPr>
          <w:lang w:val="en-GB"/>
        </w:rPr>
      </w:pPr>
    </w:p>
    <w:p w14:paraId="1ABC083B" w14:textId="5A7E0BB9" w:rsidR="005929A8" w:rsidRDefault="00A5591C" w:rsidP="002140E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These were used together with </w:t>
      </w:r>
      <w:r w:rsidRPr="00BE5EE8">
        <w:rPr>
          <w:rFonts w:ascii="Arial" w:hAnsi="Arial" w:cs="Arial"/>
          <w:i/>
          <w:lang w:val="en-GB"/>
        </w:rPr>
        <w:t>p-</w:t>
      </w:r>
      <w:proofErr w:type="spellStart"/>
      <w:r w:rsidRPr="00BE5EE8">
        <w:rPr>
          <w:rFonts w:ascii="Arial" w:hAnsi="Arial" w:cs="Arial"/>
          <w:i/>
          <w:lang w:val="en-GB"/>
        </w:rPr>
        <w:t>MaxEUTRA</w:t>
      </w:r>
      <w:proofErr w:type="spellEnd"/>
      <w:r>
        <w:rPr>
          <w:rFonts w:ascii="Arial" w:hAnsi="Arial" w:cs="Arial"/>
          <w:lang w:val="en-GB"/>
        </w:rPr>
        <w:t xml:space="preserve"> on the E</w:t>
      </w:r>
      <w:r w:rsidR="00BE5EE8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>UTRA side to limit the max power for NR and E</w:t>
      </w:r>
      <w:r w:rsidR="004D4BEF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 xml:space="preserve">UTRA cell groups respectively. </w:t>
      </w:r>
    </w:p>
    <w:p w14:paraId="3CEF5CAC" w14:textId="36A901A0" w:rsidR="00A60C3A" w:rsidRDefault="00A5591C" w:rsidP="005929A8">
      <w:pPr>
        <w:pStyle w:val="ListParagraph"/>
        <w:numPr>
          <w:ilvl w:val="0"/>
          <w:numId w:val="31"/>
        </w:numPr>
        <w:rPr>
          <w:rFonts w:ascii="Arial" w:hAnsi="Arial" w:cs="Arial"/>
          <w:lang w:val="en-GB"/>
        </w:rPr>
      </w:pPr>
      <w:r w:rsidRPr="005929A8">
        <w:rPr>
          <w:rFonts w:ascii="Arial" w:hAnsi="Arial" w:cs="Arial"/>
          <w:lang w:val="en-GB"/>
        </w:rPr>
        <w:t xml:space="preserve">By setting </w:t>
      </w:r>
      <w:r w:rsidRPr="00E5560A">
        <w:rPr>
          <w:rFonts w:ascii="Arial" w:hAnsi="Arial" w:cs="Arial"/>
          <w:i/>
          <w:lang w:val="en-GB"/>
        </w:rPr>
        <w:t>p-NR-FR1</w:t>
      </w:r>
      <w:r w:rsidRPr="005929A8">
        <w:rPr>
          <w:rFonts w:ascii="Arial" w:hAnsi="Arial" w:cs="Arial"/>
          <w:lang w:val="en-GB"/>
        </w:rPr>
        <w:t xml:space="preserve"> and </w:t>
      </w:r>
      <w:r w:rsidR="005929A8" w:rsidRPr="00844308">
        <w:rPr>
          <w:rFonts w:ascii="Arial" w:hAnsi="Arial" w:cs="Arial"/>
          <w:i/>
          <w:lang w:val="en-GB"/>
        </w:rPr>
        <w:t>p-</w:t>
      </w:r>
      <w:proofErr w:type="spellStart"/>
      <w:r w:rsidR="005929A8" w:rsidRPr="00844308">
        <w:rPr>
          <w:rFonts w:ascii="Arial" w:hAnsi="Arial" w:cs="Arial"/>
          <w:i/>
          <w:lang w:val="en-GB"/>
        </w:rPr>
        <w:t>MaxEUTRA</w:t>
      </w:r>
      <w:proofErr w:type="spellEnd"/>
      <w:r w:rsidR="005929A8" w:rsidRPr="005929A8">
        <w:rPr>
          <w:rFonts w:ascii="Arial" w:hAnsi="Arial" w:cs="Arial"/>
          <w:lang w:val="en-GB"/>
        </w:rPr>
        <w:t xml:space="preserve"> such that the sum is smaller or equal to the total allowed UE transmit power for FR1, NR and E</w:t>
      </w:r>
      <w:r w:rsidR="007C5904">
        <w:rPr>
          <w:rFonts w:ascii="Arial" w:hAnsi="Arial" w:cs="Arial"/>
          <w:lang w:val="en-GB"/>
        </w:rPr>
        <w:t>-</w:t>
      </w:r>
      <w:r w:rsidR="005929A8" w:rsidRPr="005929A8">
        <w:rPr>
          <w:rFonts w:ascii="Arial" w:hAnsi="Arial" w:cs="Arial"/>
          <w:lang w:val="en-GB"/>
        </w:rPr>
        <w:t xml:space="preserve">UTRA are allocated fixed shares of the available power within which it can operate. This is sometimes referred to as semi-static power sharing. </w:t>
      </w:r>
    </w:p>
    <w:p w14:paraId="50FCEE6C" w14:textId="6D57AE38" w:rsidR="005929A8" w:rsidRDefault="005929A8" w:rsidP="005929A8">
      <w:pPr>
        <w:pStyle w:val="ListParagraph"/>
        <w:numPr>
          <w:ilvl w:val="0"/>
          <w:numId w:val="31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</w:t>
      </w:r>
      <w:r w:rsidRPr="005929A8">
        <w:rPr>
          <w:rFonts w:ascii="Arial" w:hAnsi="Arial" w:cs="Arial"/>
          <w:lang w:val="en-GB"/>
        </w:rPr>
        <w:t xml:space="preserve">etting </w:t>
      </w:r>
      <w:r w:rsidRPr="00A87BDB">
        <w:rPr>
          <w:rFonts w:ascii="Arial" w:hAnsi="Arial" w:cs="Arial"/>
          <w:i/>
          <w:lang w:val="en-GB"/>
        </w:rPr>
        <w:t>p-NR-FR1</w:t>
      </w:r>
      <w:r w:rsidRPr="005929A8">
        <w:rPr>
          <w:rFonts w:ascii="Arial" w:hAnsi="Arial" w:cs="Arial"/>
          <w:lang w:val="en-GB"/>
        </w:rPr>
        <w:t xml:space="preserve"> and </w:t>
      </w:r>
      <w:r w:rsidRPr="00A87BDB">
        <w:rPr>
          <w:rFonts w:ascii="Arial" w:hAnsi="Arial" w:cs="Arial"/>
          <w:i/>
          <w:lang w:val="en-GB"/>
        </w:rPr>
        <w:t>p-</w:t>
      </w:r>
      <w:proofErr w:type="spellStart"/>
      <w:r w:rsidRPr="00A87BDB">
        <w:rPr>
          <w:rFonts w:ascii="Arial" w:hAnsi="Arial" w:cs="Arial"/>
          <w:i/>
          <w:lang w:val="en-GB"/>
        </w:rPr>
        <w:t>MaxEUTRA</w:t>
      </w:r>
      <w:proofErr w:type="spellEnd"/>
      <w:r w:rsidRPr="005929A8">
        <w:rPr>
          <w:rFonts w:ascii="Arial" w:hAnsi="Arial" w:cs="Arial"/>
          <w:lang w:val="en-GB"/>
        </w:rPr>
        <w:t xml:space="preserve"> such that the sum is </w:t>
      </w:r>
      <w:r>
        <w:rPr>
          <w:rFonts w:ascii="Arial" w:hAnsi="Arial" w:cs="Arial"/>
          <w:lang w:val="en-GB"/>
        </w:rPr>
        <w:t>larger</w:t>
      </w:r>
      <w:r w:rsidRPr="005929A8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than </w:t>
      </w:r>
      <w:r w:rsidRPr="005929A8">
        <w:rPr>
          <w:rFonts w:ascii="Arial" w:hAnsi="Arial" w:cs="Arial"/>
          <w:lang w:val="en-GB"/>
        </w:rPr>
        <w:t>the total allowed UE transmit power for FR1</w:t>
      </w:r>
      <w:r>
        <w:rPr>
          <w:rFonts w:ascii="Arial" w:hAnsi="Arial" w:cs="Arial"/>
          <w:lang w:val="en-GB"/>
        </w:rPr>
        <w:t xml:space="preserve"> is only supported for UEs supporting dynamic power sharing, based on UE capability. With dynamic power sharing, when the UE </w:t>
      </w:r>
      <w:proofErr w:type="spellStart"/>
      <w:r>
        <w:rPr>
          <w:rFonts w:ascii="Arial" w:hAnsi="Arial" w:cs="Arial"/>
          <w:lang w:val="en-GB"/>
        </w:rPr>
        <w:t>tx</w:t>
      </w:r>
      <w:proofErr w:type="spellEnd"/>
      <w:r>
        <w:rPr>
          <w:rFonts w:ascii="Arial" w:hAnsi="Arial" w:cs="Arial"/>
          <w:lang w:val="en-GB"/>
        </w:rPr>
        <w:t xml:space="preserve"> power exceeds maximum </w:t>
      </w:r>
      <w:r w:rsidR="00D8376F">
        <w:rPr>
          <w:rFonts w:ascii="Arial" w:hAnsi="Arial" w:cs="Arial"/>
          <w:lang w:val="en-GB"/>
        </w:rPr>
        <w:t xml:space="preserve">allowed </w:t>
      </w:r>
      <w:r>
        <w:rPr>
          <w:rFonts w:ascii="Arial" w:hAnsi="Arial" w:cs="Arial"/>
          <w:lang w:val="en-GB"/>
        </w:rPr>
        <w:t xml:space="preserve">transmit power for FR1, the UE will scale down </w:t>
      </w:r>
      <w:r w:rsidR="00DA5629">
        <w:rPr>
          <w:rFonts w:ascii="Arial" w:hAnsi="Arial" w:cs="Arial"/>
          <w:lang w:val="en-GB"/>
        </w:rPr>
        <w:t xml:space="preserve">or drop </w:t>
      </w:r>
      <w:r>
        <w:rPr>
          <w:rFonts w:ascii="Arial" w:hAnsi="Arial" w:cs="Arial"/>
          <w:lang w:val="en-GB"/>
        </w:rPr>
        <w:t xml:space="preserve">the transmit power for </w:t>
      </w:r>
      <w:r w:rsidR="00DA5629">
        <w:rPr>
          <w:rFonts w:ascii="Arial" w:hAnsi="Arial" w:cs="Arial"/>
          <w:lang w:val="en-GB"/>
        </w:rPr>
        <w:t>the SCG</w:t>
      </w:r>
      <w:r>
        <w:rPr>
          <w:rFonts w:ascii="Arial" w:hAnsi="Arial" w:cs="Arial"/>
          <w:lang w:val="en-GB"/>
        </w:rPr>
        <w:t>.</w:t>
      </w:r>
      <w:r w:rsidR="00DA5629">
        <w:rPr>
          <w:rFonts w:ascii="Arial" w:hAnsi="Arial" w:cs="Arial"/>
          <w:lang w:val="en-GB"/>
        </w:rPr>
        <w:t xml:space="preserve"> See the section on dynamic power sharing for more information.</w:t>
      </w:r>
      <w:r>
        <w:rPr>
          <w:rFonts w:ascii="Arial" w:hAnsi="Arial" w:cs="Arial"/>
          <w:lang w:val="en-GB"/>
        </w:rPr>
        <w:t xml:space="preserve"> </w:t>
      </w:r>
    </w:p>
    <w:p w14:paraId="1447F3E1" w14:textId="77777777" w:rsidR="005929A8" w:rsidRDefault="005929A8" w:rsidP="002140E7">
      <w:pPr>
        <w:rPr>
          <w:rFonts w:ascii="Arial" w:hAnsi="Arial" w:cs="Arial"/>
          <w:lang w:val="en-GB"/>
        </w:rPr>
      </w:pPr>
    </w:p>
    <w:p w14:paraId="5F7CF8FD" w14:textId="3958D759" w:rsidR="00DA5629" w:rsidRPr="006D7DD4" w:rsidRDefault="00DA5629" w:rsidP="00DA5629">
      <w:pPr>
        <w:pStyle w:val="Observation"/>
        <w:rPr>
          <w:rFonts w:ascii="Arial" w:hAnsi="Arial" w:cs="Arial"/>
          <w:lang w:val="en-US"/>
        </w:rPr>
      </w:pPr>
      <w:bookmarkStart w:id="2" w:name="_Toc21007503"/>
      <w:r w:rsidRPr="006D7DD4">
        <w:rPr>
          <w:rFonts w:ascii="Arial" w:hAnsi="Arial" w:cs="Arial"/>
          <w:lang w:val="en-US"/>
        </w:rPr>
        <w:lastRenderedPageBreak/>
        <w:t>In EN-DC, the possibility to configure max power for E</w:t>
      </w:r>
      <w:r w:rsidR="006A2485" w:rsidRPr="006D7DD4">
        <w:rPr>
          <w:rFonts w:ascii="Arial" w:hAnsi="Arial" w:cs="Arial"/>
          <w:lang w:val="en-US"/>
        </w:rPr>
        <w:t>-</w:t>
      </w:r>
      <w:r w:rsidRPr="006D7DD4">
        <w:rPr>
          <w:rFonts w:ascii="Arial" w:hAnsi="Arial" w:cs="Arial"/>
          <w:lang w:val="en-US"/>
        </w:rPr>
        <w:t>UTRA and NR cell groups and per UE were defined.</w:t>
      </w:r>
      <w:bookmarkEnd w:id="2"/>
      <w:r w:rsidRPr="006D7DD4">
        <w:rPr>
          <w:rFonts w:ascii="Arial" w:hAnsi="Arial" w:cs="Arial"/>
          <w:lang w:val="en-US"/>
        </w:rPr>
        <w:t xml:space="preserve"> </w:t>
      </w:r>
    </w:p>
    <w:p w14:paraId="59DF25A4" w14:textId="77777777" w:rsidR="00DA5629" w:rsidRPr="006D7DD4" w:rsidRDefault="00DA5629" w:rsidP="00DA5629">
      <w:pPr>
        <w:pStyle w:val="Observation"/>
        <w:rPr>
          <w:rFonts w:ascii="Arial" w:hAnsi="Arial" w:cs="Arial"/>
          <w:lang w:val="en-US"/>
        </w:rPr>
      </w:pPr>
      <w:bookmarkStart w:id="3" w:name="_Toc21007504"/>
      <w:r w:rsidRPr="006D7DD4">
        <w:rPr>
          <w:rFonts w:ascii="Arial" w:hAnsi="Arial" w:cs="Arial"/>
          <w:lang w:val="en-US"/>
        </w:rPr>
        <w:t>In EN-DC, semi-static power sharing was mandatory supported. Dynamic power sharing was supported based on UE capability.</w:t>
      </w:r>
      <w:bookmarkEnd w:id="3"/>
    </w:p>
    <w:p w14:paraId="79015023" w14:textId="7E58D425" w:rsidR="000507B7" w:rsidRPr="00362064" w:rsidRDefault="00362064" w:rsidP="003827AB">
      <w:pPr>
        <w:rPr>
          <w:rFonts w:ascii="Arial" w:hAnsi="Arial" w:cs="Arial"/>
          <w:lang w:val="en-GB"/>
        </w:rPr>
      </w:pPr>
      <w:r w:rsidRPr="00362064">
        <w:rPr>
          <w:rFonts w:ascii="Arial" w:hAnsi="Arial" w:cs="Arial"/>
          <w:lang w:val="en-GB"/>
        </w:rPr>
        <w:t>For R</w:t>
      </w:r>
      <w:r>
        <w:rPr>
          <w:rFonts w:ascii="Arial" w:hAnsi="Arial" w:cs="Arial"/>
          <w:lang w:val="en-GB"/>
        </w:rPr>
        <w:t xml:space="preserve">el-16, </w:t>
      </w:r>
      <w:r w:rsidR="008F4EB5">
        <w:rPr>
          <w:rFonts w:ascii="Arial" w:hAnsi="Arial" w:cs="Arial"/>
          <w:lang w:val="en-GB"/>
        </w:rPr>
        <w:t xml:space="preserve">the discussion </w:t>
      </w:r>
      <w:r w:rsidR="00864CCB">
        <w:rPr>
          <w:rFonts w:ascii="Arial" w:hAnsi="Arial" w:cs="Arial"/>
          <w:lang w:val="en-GB"/>
        </w:rPr>
        <w:t xml:space="preserve">on NR-DC with regards to the support of FR1 and FR2 in MCG and SCG is still ongoing in RAN1 </w:t>
      </w:r>
      <w:r w:rsidR="00864CCB">
        <w:rPr>
          <w:rFonts w:ascii="Arial" w:hAnsi="Arial" w:cs="Arial"/>
          <w:lang w:val="en-GB"/>
        </w:rPr>
        <w:fldChar w:fldCharType="begin"/>
      </w:r>
      <w:r w:rsidR="00864CCB">
        <w:rPr>
          <w:rFonts w:ascii="Arial" w:hAnsi="Arial" w:cs="Arial"/>
          <w:lang w:val="en-GB"/>
        </w:rPr>
        <w:instrText xml:space="preserve"> REF _Ref10632574 \r \h </w:instrText>
      </w:r>
      <w:r w:rsidR="00864CCB">
        <w:rPr>
          <w:rFonts w:ascii="Arial" w:hAnsi="Arial" w:cs="Arial"/>
          <w:lang w:val="en-GB"/>
        </w:rPr>
      </w:r>
      <w:r w:rsidR="00864CCB">
        <w:rPr>
          <w:rFonts w:ascii="Arial" w:hAnsi="Arial" w:cs="Arial"/>
          <w:lang w:val="en-GB"/>
        </w:rPr>
        <w:fldChar w:fldCharType="separate"/>
      </w:r>
      <w:r w:rsidR="00864CCB">
        <w:rPr>
          <w:rFonts w:ascii="Arial" w:hAnsi="Arial" w:cs="Arial"/>
          <w:lang w:val="en-GB"/>
        </w:rPr>
        <w:t>[1]</w:t>
      </w:r>
      <w:r w:rsidR="00864CCB">
        <w:rPr>
          <w:rFonts w:ascii="Arial" w:hAnsi="Arial" w:cs="Arial"/>
          <w:lang w:val="en-GB"/>
        </w:rPr>
        <w:fldChar w:fldCharType="end"/>
      </w:r>
      <w:r w:rsidR="007A2B6F">
        <w:rPr>
          <w:rFonts w:ascii="Arial" w:hAnsi="Arial" w:cs="Arial"/>
          <w:lang w:val="en-GB"/>
        </w:rPr>
        <w:t xml:space="preserve">, </w:t>
      </w:r>
      <w:r w:rsidR="007A2B6F">
        <w:rPr>
          <w:rFonts w:ascii="Arial" w:hAnsi="Arial" w:cs="Arial"/>
          <w:lang w:val="en-GB"/>
        </w:rPr>
        <w:fldChar w:fldCharType="begin"/>
      </w:r>
      <w:r w:rsidR="007A2B6F">
        <w:rPr>
          <w:rFonts w:ascii="Arial" w:hAnsi="Arial" w:cs="Arial"/>
          <w:lang w:val="en-GB"/>
        </w:rPr>
        <w:instrText xml:space="preserve"> REF _Ref20827179 \r \h </w:instrText>
      </w:r>
      <w:r w:rsidR="007A2B6F">
        <w:rPr>
          <w:rFonts w:ascii="Arial" w:hAnsi="Arial" w:cs="Arial"/>
          <w:lang w:val="en-GB"/>
        </w:rPr>
      </w:r>
      <w:r w:rsidR="007A2B6F">
        <w:rPr>
          <w:rFonts w:ascii="Arial" w:hAnsi="Arial" w:cs="Arial"/>
          <w:lang w:val="en-GB"/>
        </w:rPr>
        <w:fldChar w:fldCharType="separate"/>
      </w:r>
      <w:r w:rsidR="007A2B6F">
        <w:rPr>
          <w:rFonts w:ascii="Arial" w:hAnsi="Arial" w:cs="Arial"/>
          <w:lang w:val="en-GB"/>
        </w:rPr>
        <w:t>[2]</w:t>
      </w:r>
      <w:r w:rsidR="007A2B6F">
        <w:rPr>
          <w:rFonts w:ascii="Arial" w:hAnsi="Arial" w:cs="Arial"/>
          <w:lang w:val="en-GB"/>
        </w:rPr>
        <w:fldChar w:fldCharType="end"/>
      </w:r>
      <w:r w:rsidR="00864CCB">
        <w:rPr>
          <w:rFonts w:ascii="Arial" w:hAnsi="Arial" w:cs="Arial"/>
          <w:lang w:val="en-GB"/>
        </w:rPr>
        <w:t xml:space="preserve">. Based on the discussion so far, it seems likely that configurations with </w:t>
      </w:r>
      <w:r w:rsidR="008F4EB5">
        <w:rPr>
          <w:rFonts w:ascii="Arial" w:hAnsi="Arial" w:cs="Arial"/>
          <w:lang w:val="en-GB"/>
        </w:rPr>
        <w:t>FR2 in</w:t>
      </w:r>
      <w:r w:rsidR="00864CCB">
        <w:rPr>
          <w:rFonts w:ascii="Arial" w:hAnsi="Arial" w:cs="Arial"/>
          <w:lang w:val="en-GB"/>
        </w:rPr>
        <w:t xml:space="preserve"> both</w:t>
      </w:r>
      <w:r w:rsidR="008F4EB5">
        <w:rPr>
          <w:rFonts w:ascii="Arial" w:hAnsi="Arial" w:cs="Arial"/>
          <w:lang w:val="en-GB"/>
        </w:rPr>
        <w:t xml:space="preserve"> MCG and SCG </w:t>
      </w:r>
      <w:r w:rsidR="00864CCB">
        <w:rPr>
          <w:rFonts w:ascii="Arial" w:hAnsi="Arial" w:cs="Arial"/>
          <w:lang w:val="en-GB"/>
        </w:rPr>
        <w:t>are</w:t>
      </w:r>
      <w:r w:rsidR="003827AB">
        <w:rPr>
          <w:rFonts w:ascii="Arial" w:hAnsi="Arial" w:cs="Arial"/>
          <w:lang w:val="en-GB"/>
        </w:rPr>
        <w:t xml:space="preserve"> very</w:t>
      </w:r>
      <w:r w:rsidR="00864CCB">
        <w:rPr>
          <w:rFonts w:ascii="Arial" w:hAnsi="Arial" w:cs="Arial"/>
          <w:lang w:val="en-GB"/>
        </w:rPr>
        <w:t xml:space="preserve"> likely to be supported</w:t>
      </w:r>
      <w:r w:rsidR="008F4EB5">
        <w:rPr>
          <w:rFonts w:ascii="Arial" w:hAnsi="Arial" w:cs="Arial"/>
          <w:lang w:val="en-GB"/>
        </w:rPr>
        <w:t>.</w:t>
      </w:r>
      <w:r w:rsidR="00864CCB">
        <w:rPr>
          <w:rFonts w:ascii="Arial" w:hAnsi="Arial" w:cs="Arial"/>
          <w:lang w:val="en-GB"/>
        </w:rPr>
        <w:t xml:space="preserve"> </w:t>
      </w:r>
      <w:r w:rsidR="003827AB">
        <w:rPr>
          <w:rFonts w:ascii="Arial" w:hAnsi="Arial" w:cs="Arial"/>
          <w:lang w:val="en-GB"/>
        </w:rPr>
        <w:t xml:space="preserve">In this case, </w:t>
      </w:r>
      <w:r>
        <w:rPr>
          <w:rFonts w:ascii="Arial" w:hAnsi="Arial" w:cs="Arial"/>
          <w:lang w:val="en-GB"/>
        </w:rPr>
        <w:t xml:space="preserve">there is a need to add corresponding fields to configure the max transmit power </w:t>
      </w:r>
      <w:r w:rsidR="003827AB">
        <w:rPr>
          <w:rFonts w:ascii="Arial" w:hAnsi="Arial" w:cs="Arial"/>
          <w:lang w:val="en-GB"/>
        </w:rPr>
        <w:t>across all</w:t>
      </w:r>
      <w:r>
        <w:rPr>
          <w:rFonts w:ascii="Arial" w:hAnsi="Arial" w:cs="Arial"/>
          <w:lang w:val="en-GB"/>
        </w:rPr>
        <w:t xml:space="preserve"> serving cells</w:t>
      </w:r>
      <w:r w:rsidR="003827AB">
        <w:rPr>
          <w:rFonts w:ascii="Arial" w:hAnsi="Arial" w:cs="Arial"/>
          <w:lang w:val="en-GB"/>
        </w:rPr>
        <w:t xml:space="preserve"> operating in FR2</w:t>
      </w:r>
      <w:r>
        <w:rPr>
          <w:rFonts w:ascii="Arial" w:hAnsi="Arial" w:cs="Arial"/>
          <w:lang w:val="en-GB"/>
        </w:rPr>
        <w:t xml:space="preserve"> </w:t>
      </w:r>
      <w:r w:rsidR="00DA5629">
        <w:rPr>
          <w:rFonts w:ascii="Arial" w:hAnsi="Arial" w:cs="Arial"/>
          <w:lang w:val="en-GB"/>
        </w:rPr>
        <w:t xml:space="preserve">within </w:t>
      </w:r>
      <w:r w:rsidR="003827AB">
        <w:rPr>
          <w:rFonts w:ascii="Arial" w:hAnsi="Arial" w:cs="Arial"/>
          <w:lang w:val="en-GB"/>
        </w:rPr>
        <w:t>each</w:t>
      </w:r>
      <w:r w:rsidR="00DA5629">
        <w:rPr>
          <w:rFonts w:ascii="Arial" w:hAnsi="Arial" w:cs="Arial"/>
          <w:lang w:val="en-GB"/>
        </w:rPr>
        <w:t xml:space="preserve"> cell group</w:t>
      </w:r>
      <w:r w:rsidR="00CF36C7">
        <w:rPr>
          <w:rFonts w:ascii="Arial" w:hAnsi="Arial" w:cs="Arial"/>
          <w:lang w:val="en-GB"/>
        </w:rPr>
        <w:t>, e.g.: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0507B7" w:rsidRPr="006D7DD4" w14:paraId="1B1AEBFE" w14:textId="77777777" w:rsidTr="008260DF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A645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p-NR-FR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2</w:t>
            </w:r>
          </w:p>
          <w:p w14:paraId="2546759E" w14:textId="6FCF063E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in this NR cell group across all serving cells in frequency range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). The maximum transmit power that the UE may use may be additionally limited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p-Max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and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p-UE-FR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total for all serving cells operating on FR</w:t>
            </w:r>
            <w:r w:rsidR="009E3DFA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).</w:t>
            </w:r>
          </w:p>
        </w:tc>
      </w:tr>
      <w:tr w:rsidR="000507B7" w:rsidRPr="006D7DD4" w14:paraId="4708F059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2E96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p-UE-FR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2</w:t>
            </w:r>
          </w:p>
          <w:p w14:paraId="03F41CFE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across all serving cells in frequency range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across all cell groups. The maximum transmit power that the UE may use may be additionally limited by </w:t>
            </w:r>
            <w:r w:rsidRPr="00754D69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p-Max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and by </w:t>
            </w:r>
            <w:r w:rsidRPr="00754D69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p-NR-FR2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for the cell group).</w:t>
            </w:r>
          </w:p>
        </w:tc>
      </w:tr>
    </w:tbl>
    <w:p w14:paraId="5E5F1EE2" w14:textId="389DC696" w:rsidR="000507B7" w:rsidRPr="006D7DD4" w:rsidRDefault="000507B7" w:rsidP="002140E7">
      <w:pPr>
        <w:rPr>
          <w:lang w:val="en-US"/>
        </w:rPr>
      </w:pPr>
    </w:p>
    <w:p w14:paraId="5C929E47" w14:textId="1023E631" w:rsidR="00362064" w:rsidRPr="006D7DD4" w:rsidRDefault="003827AB" w:rsidP="00362064">
      <w:pPr>
        <w:pStyle w:val="Proposal"/>
        <w:rPr>
          <w:rFonts w:ascii="Arial" w:hAnsi="Arial" w:cs="Arial"/>
          <w:lang w:val="en-US"/>
        </w:rPr>
      </w:pPr>
      <w:bookmarkStart w:id="4" w:name="_Toc21007499"/>
      <w:r w:rsidRPr="006D7DD4">
        <w:rPr>
          <w:rFonts w:ascii="Arial" w:hAnsi="Arial" w:cs="Arial"/>
          <w:lang w:val="en-US"/>
        </w:rPr>
        <w:t xml:space="preserve">In case RAN1 agrees on FR2 support in both MCG and SCG for NR-DC, </w:t>
      </w:r>
      <w:r w:rsidR="00362064" w:rsidRPr="006D7DD4">
        <w:rPr>
          <w:rFonts w:ascii="Arial" w:hAnsi="Arial" w:cs="Arial"/>
          <w:i/>
          <w:lang w:val="en-US"/>
        </w:rPr>
        <w:t xml:space="preserve">p-NR-FR2 </w:t>
      </w:r>
      <w:r w:rsidR="00362064" w:rsidRPr="006D7DD4">
        <w:rPr>
          <w:rFonts w:ascii="Arial" w:hAnsi="Arial" w:cs="Arial"/>
          <w:lang w:val="en-US"/>
        </w:rPr>
        <w:t xml:space="preserve">and </w:t>
      </w:r>
      <w:r w:rsidR="00362064" w:rsidRPr="006D7DD4">
        <w:rPr>
          <w:rFonts w:ascii="Arial" w:hAnsi="Arial" w:cs="Arial"/>
          <w:i/>
          <w:lang w:val="en-US"/>
        </w:rPr>
        <w:t>p-NR-FR2</w:t>
      </w:r>
      <w:r w:rsidR="00362064" w:rsidRPr="006D7DD4">
        <w:rPr>
          <w:rFonts w:ascii="Arial" w:hAnsi="Arial" w:cs="Arial"/>
          <w:lang w:val="en-US"/>
        </w:rPr>
        <w:t xml:space="preserve"> are added in </w:t>
      </w:r>
      <w:r w:rsidR="00362064" w:rsidRPr="006D7DD4">
        <w:rPr>
          <w:rFonts w:ascii="Arial" w:eastAsia="Calibri" w:hAnsi="Arial" w:cs="Arial"/>
          <w:i/>
          <w:iCs/>
          <w:lang w:val="en-US"/>
        </w:rPr>
        <w:t>PhysicalCellGroupConfig</w:t>
      </w:r>
      <w:r w:rsidR="00362064" w:rsidRPr="006D7DD4">
        <w:rPr>
          <w:rFonts w:ascii="Arial" w:eastAsia="Calibri" w:hAnsi="Arial" w:cs="Arial"/>
          <w:lang w:val="en-US"/>
        </w:rPr>
        <w:t xml:space="preserve"> </w:t>
      </w:r>
      <w:r w:rsidR="00362064" w:rsidRPr="006D7DD4">
        <w:rPr>
          <w:rFonts w:ascii="Arial" w:hAnsi="Arial" w:cs="Arial"/>
          <w:lang w:val="en-US"/>
        </w:rPr>
        <w:t>to configure the max transmit power for serving cells operating in FR2.</w:t>
      </w:r>
      <w:bookmarkEnd w:id="4"/>
    </w:p>
    <w:p w14:paraId="234DAC9E" w14:textId="76B04E6F" w:rsidR="000507B7" w:rsidRDefault="000507B7" w:rsidP="000507B7">
      <w:pPr>
        <w:pStyle w:val="Heading2"/>
      </w:pPr>
      <w:r>
        <w:t>Power coordination</w:t>
      </w:r>
    </w:p>
    <w:p w14:paraId="1A886E7C" w14:textId="03178C1C" w:rsidR="008646BD" w:rsidRPr="006D7DD4" w:rsidRDefault="000507B7" w:rsidP="000507B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 xml:space="preserve">In addition to the fields used to configure the UE, there are also fields defined in </w:t>
      </w:r>
      <w:r w:rsidR="003368F6">
        <w:rPr>
          <w:rFonts w:ascii="Arial" w:hAnsi="Arial" w:cs="Arial"/>
          <w:lang w:val="en-GB"/>
        </w:rPr>
        <w:t>i</w:t>
      </w:r>
      <w:r>
        <w:rPr>
          <w:rFonts w:ascii="Arial" w:hAnsi="Arial" w:cs="Arial"/>
          <w:lang w:val="en-GB"/>
        </w:rPr>
        <w:t>nter</w:t>
      </w:r>
      <w:r w:rsidR="003368F6">
        <w:rPr>
          <w:rFonts w:ascii="Arial" w:hAnsi="Arial" w:cs="Arial"/>
          <w:lang w:val="en-GB"/>
        </w:rPr>
        <w:t>-n</w:t>
      </w:r>
      <w:r>
        <w:rPr>
          <w:rFonts w:ascii="Arial" w:hAnsi="Arial" w:cs="Arial"/>
          <w:lang w:val="en-GB"/>
        </w:rPr>
        <w:t>ode RRC messages</w:t>
      </w:r>
      <w:r w:rsidR="003368F6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to enable the power coordination between MCG and SCG. In Rel-15, </w:t>
      </w:r>
      <w:r w:rsidR="009B5EAD" w:rsidRPr="006D7DD4">
        <w:rPr>
          <w:rFonts w:ascii="Arial" w:hAnsi="Arial" w:cs="Arial"/>
          <w:lang w:val="en-US"/>
        </w:rPr>
        <w:t xml:space="preserve">the following fields were used </w:t>
      </w:r>
      <w:r w:rsidR="003368F6" w:rsidRPr="006D7DD4">
        <w:rPr>
          <w:rFonts w:ascii="Arial" w:hAnsi="Arial" w:cs="Arial"/>
          <w:lang w:val="en-US"/>
        </w:rPr>
        <w:t xml:space="preserve">in </w:t>
      </w:r>
      <w:r w:rsidR="003368F6" w:rsidRPr="006D7DD4">
        <w:rPr>
          <w:rFonts w:ascii="Arial" w:hAnsi="Arial" w:cs="Arial"/>
          <w:i/>
          <w:lang w:val="en-US"/>
        </w:rPr>
        <w:t>configRestrictInfoSCG</w:t>
      </w:r>
      <w:r w:rsidR="003368F6" w:rsidRPr="006D7DD4">
        <w:rPr>
          <w:rFonts w:ascii="Arial" w:hAnsi="Arial" w:cs="Arial"/>
          <w:lang w:val="en-US"/>
        </w:rPr>
        <w:t xml:space="preserve"> of message </w:t>
      </w:r>
      <w:r w:rsidR="003368F6" w:rsidRPr="006D7DD4">
        <w:rPr>
          <w:rFonts w:ascii="Arial" w:hAnsi="Arial" w:cs="Arial"/>
          <w:i/>
          <w:lang w:val="en-US"/>
        </w:rPr>
        <w:t>CG-ConfigInfo</w:t>
      </w:r>
      <w:r w:rsidR="003368F6" w:rsidRPr="006D7DD4">
        <w:rPr>
          <w:rFonts w:ascii="Arial" w:hAnsi="Arial" w:cs="Arial"/>
          <w:lang w:val="en-US"/>
        </w:rPr>
        <w:t xml:space="preserve"> by the MN to inform SN of the </w:t>
      </w:r>
      <w:r w:rsidR="009B5EAD" w:rsidRPr="006D7DD4">
        <w:rPr>
          <w:rFonts w:ascii="Arial" w:hAnsi="Arial" w:cs="Arial"/>
          <w:lang w:val="en-US"/>
        </w:rPr>
        <w:t>maximum transmission power allowed per cell group and per UE on FR1:</w:t>
      </w:r>
    </w:p>
    <w:p w14:paraId="4A2DB84B" w14:textId="77777777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powerCoordination-FR1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5703FC32" w14:textId="7B854414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p-maxNR-FR1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EEEFA08" w14:textId="4657A5A5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p-maxEUTRA 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0FAE603" w14:textId="674CE00B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p-maxUE-FR1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</w:p>
    <w:p w14:paraId="7456EA83" w14:textId="45E9D2ED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E9A6322" w14:textId="28ADB099" w:rsidR="009B5EAD" w:rsidRDefault="009B5EAD" w:rsidP="00717A7A">
      <w:pPr>
        <w:pStyle w:val="BodyText"/>
        <w:rPr>
          <w:rFonts w:ascii="Arial" w:hAnsi="Arial" w:cs="Arial"/>
        </w:rPr>
      </w:pP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D66F2A" w:rsidRPr="006D7DD4" w14:paraId="308E0503" w14:textId="77777777" w:rsidTr="00D66F2A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0035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</w:t>
            </w:r>
            <w:proofErr w:type="spellStart"/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maxEUTRA</w:t>
            </w:r>
            <w:proofErr w:type="spellEnd"/>
          </w:p>
          <w:p w14:paraId="4B4BA88D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total transmit power to be used by the UE in the E-UTRA cell group (see TS 36.104 [33]).</w:t>
            </w:r>
          </w:p>
        </w:tc>
      </w:tr>
      <w:tr w:rsidR="00D66F2A" w:rsidRPr="006D7DD4" w14:paraId="5747F02F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0B1F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p-maxNR-FR1</w:t>
            </w:r>
          </w:p>
          <w:p w14:paraId="19AE8599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D66F2A" w:rsidRPr="006D7DD4" w14:paraId="2399D8D3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1E5A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p-maxUE-FR1</w:t>
            </w:r>
          </w:p>
          <w:p w14:paraId="1A575663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total transmit power to be used by the UE across all serving cells in frequency range 1 (FR1).</w:t>
            </w:r>
          </w:p>
        </w:tc>
      </w:tr>
      <w:tr w:rsidR="00D66F2A" w:rsidRPr="006D7DD4" w14:paraId="574A17D9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FEDB8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powerCoordination-FR1</w:t>
            </w:r>
          </w:p>
          <w:p w14:paraId="43EF883B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power that the UE can use in FR1.</w:t>
            </w:r>
          </w:p>
        </w:tc>
      </w:tr>
    </w:tbl>
    <w:p w14:paraId="2A5CB40D" w14:textId="63D484BD" w:rsidR="00D66F2A" w:rsidRPr="006D7DD4" w:rsidRDefault="00D66F2A" w:rsidP="00717A7A">
      <w:pPr>
        <w:pStyle w:val="BodyText"/>
        <w:rPr>
          <w:rFonts w:ascii="Arial" w:hAnsi="Arial" w:cs="Arial"/>
          <w:lang w:val="en-US"/>
        </w:rPr>
      </w:pPr>
    </w:p>
    <w:p w14:paraId="47176CC8" w14:textId="7974CC79" w:rsidR="003368F6" w:rsidRPr="006D7DD4" w:rsidRDefault="003368F6" w:rsidP="00717A7A">
      <w:pPr>
        <w:pStyle w:val="BodyText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 xml:space="preserve">If the SN </w:t>
      </w:r>
      <w:r w:rsidR="00823AD3" w:rsidRPr="006D7DD4">
        <w:rPr>
          <w:rFonts w:ascii="Arial" w:hAnsi="Arial" w:cs="Arial"/>
          <w:lang w:val="en-US"/>
        </w:rPr>
        <w:t xml:space="preserve">determines a need to increase </w:t>
      </w:r>
      <w:proofErr w:type="gramStart"/>
      <w:r w:rsidR="00823AD3" w:rsidRPr="006D7DD4">
        <w:rPr>
          <w:rFonts w:ascii="Arial" w:hAnsi="Arial" w:cs="Arial"/>
          <w:lang w:val="en-US"/>
        </w:rPr>
        <w:t>its</w:t>
      </w:r>
      <w:proofErr w:type="gramEnd"/>
      <w:r w:rsidR="00823AD3" w:rsidRPr="006D7DD4">
        <w:rPr>
          <w:rFonts w:ascii="Arial" w:hAnsi="Arial" w:cs="Arial"/>
          <w:lang w:val="en-US"/>
        </w:rPr>
        <w:t xml:space="preserve"> transmit power beyond</w:t>
      </w:r>
      <w:r w:rsidRPr="006D7DD4">
        <w:rPr>
          <w:rFonts w:ascii="Arial" w:hAnsi="Arial" w:cs="Arial"/>
          <w:lang w:val="en-US"/>
        </w:rPr>
        <w:t xml:space="preserve"> the allocated maximum transmit power, it can request a change using the field </w:t>
      </w:r>
      <w:r w:rsidRPr="006D7DD4">
        <w:rPr>
          <w:rFonts w:ascii="Arial" w:hAnsi="Arial" w:cs="Arial"/>
          <w:i/>
          <w:lang w:val="en-US"/>
        </w:rPr>
        <w:t>requestedP-MaxFR1</w:t>
      </w:r>
      <w:r w:rsidRPr="006D7DD4">
        <w:rPr>
          <w:rFonts w:ascii="Arial" w:hAnsi="Arial" w:cs="Arial"/>
          <w:lang w:val="en-US"/>
        </w:rPr>
        <w:t xml:space="preserve"> in </w:t>
      </w:r>
      <w:proofErr w:type="spellStart"/>
      <w:r w:rsidRPr="006D7DD4">
        <w:rPr>
          <w:rFonts w:ascii="Arial" w:hAnsi="Arial" w:cs="Arial"/>
          <w:i/>
          <w:lang w:val="en-US"/>
        </w:rPr>
        <w:t>configRestrictModReq</w:t>
      </w:r>
      <w:proofErr w:type="spellEnd"/>
      <w:r w:rsidRPr="006D7DD4">
        <w:rPr>
          <w:rFonts w:ascii="Arial" w:hAnsi="Arial" w:cs="Arial"/>
          <w:lang w:val="en-US"/>
        </w:rPr>
        <w:t xml:space="preserve"> of message </w:t>
      </w:r>
      <w:r w:rsidRPr="006D7DD4">
        <w:rPr>
          <w:rFonts w:ascii="Arial" w:hAnsi="Arial" w:cs="Arial"/>
          <w:i/>
          <w:lang w:val="en-US"/>
        </w:rPr>
        <w:t>CG-Config</w:t>
      </w:r>
      <w:r w:rsidRPr="006D7DD4">
        <w:rPr>
          <w:rFonts w:ascii="Arial" w:hAnsi="Arial" w:cs="Arial"/>
          <w:lang w:val="en-US"/>
        </w:rPr>
        <w:t>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5E43" w:rsidRPr="006D7DD4" w14:paraId="231AB48A" w14:textId="77777777" w:rsidTr="00E95E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DADA" w14:textId="77777777" w:rsidR="00E95E43" w:rsidRPr="00E95E43" w:rsidRDefault="00E95E43" w:rsidP="00E9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bookmarkStart w:id="5" w:name="_Hlk10638728"/>
            <w:r w:rsidRPr="00E95E43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lastRenderedPageBreak/>
              <w:t>requestedP-MaxFR1</w:t>
            </w:r>
          </w:p>
          <w:p w14:paraId="184ED3A9" w14:textId="77777777" w:rsidR="00E95E43" w:rsidRPr="00E95E43" w:rsidRDefault="00E95E43" w:rsidP="00E9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Requested value for the maximum power for the serving cells on frequency range 1 (FR1) in this secondary cell group (see TS 38.104 [12]) the UE can use in NR SCG.</w:t>
            </w:r>
          </w:p>
        </w:tc>
      </w:tr>
      <w:bookmarkEnd w:id="5"/>
    </w:tbl>
    <w:p w14:paraId="3A5ACA03" w14:textId="77777777" w:rsidR="00E95E43" w:rsidRPr="00E95E43" w:rsidRDefault="00E95E43" w:rsidP="00717A7A">
      <w:pPr>
        <w:pStyle w:val="BodyText"/>
        <w:rPr>
          <w:rFonts w:ascii="Arial" w:hAnsi="Arial" w:cs="Arial"/>
          <w:lang w:val="en-GB"/>
        </w:rPr>
      </w:pPr>
    </w:p>
    <w:p w14:paraId="101E3174" w14:textId="3859F5E4" w:rsidR="000507B7" w:rsidRPr="006D7DD4" w:rsidRDefault="000507B7" w:rsidP="000507B7">
      <w:pPr>
        <w:pStyle w:val="BodyText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 xml:space="preserve">For </w:t>
      </w:r>
      <w:r w:rsidR="00D9014B" w:rsidRPr="006D7DD4">
        <w:rPr>
          <w:rFonts w:ascii="Arial" w:hAnsi="Arial" w:cs="Arial"/>
          <w:lang w:val="en-US"/>
        </w:rPr>
        <w:t xml:space="preserve">Rel-16 </w:t>
      </w:r>
      <w:r w:rsidRPr="006D7DD4">
        <w:rPr>
          <w:rFonts w:ascii="Arial" w:hAnsi="Arial" w:cs="Arial"/>
          <w:lang w:val="en-US"/>
        </w:rPr>
        <w:t xml:space="preserve">NR-DC where both MCG and SCG operate in FR2, we would need corresponding power control parameters </w:t>
      </w:r>
      <w:r w:rsidR="00362064" w:rsidRPr="006D7DD4">
        <w:rPr>
          <w:rFonts w:ascii="Arial" w:hAnsi="Arial" w:cs="Arial"/>
          <w:lang w:val="en-US"/>
        </w:rPr>
        <w:t>to support power coordination between MCG and SCG for carriers operating in FR2. Since FR2 transmission is not supported for E</w:t>
      </w:r>
      <w:r w:rsidR="00CC5677" w:rsidRPr="006D7DD4">
        <w:rPr>
          <w:rFonts w:ascii="Arial" w:hAnsi="Arial" w:cs="Arial"/>
          <w:lang w:val="en-US"/>
        </w:rPr>
        <w:t>-</w:t>
      </w:r>
      <w:r w:rsidR="00362064" w:rsidRPr="006D7DD4">
        <w:rPr>
          <w:rFonts w:ascii="Arial" w:hAnsi="Arial" w:cs="Arial"/>
          <w:lang w:val="en-US"/>
        </w:rPr>
        <w:t>UTRA, there is no need for an E</w:t>
      </w:r>
      <w:r w:rsidR="00CC5677" w:rsidRPr="006D7DD4">
        <w:rPr>
          <w:rFonts w:ascii="Arial" w:hAnsi="Arial" w:cs="Arial"/>
          <w:lang w:val="en-US"/>
        </w:rPr>
        <w:t>-</w:t>
      </w:r>
      <w:r w:rsidR="00362064" w:rsidRPr="006D7DD4">
        <w:rPr>
          <w:rFonts w:ascii="Arial" w:hAnsi="Arial" w:cs="Arial"/>
          <w:lang w:val="en-US"/>
        </w:rPr>
        <w:t>UTRA field.</w:t>
      </w:r>
    </w:p>
    <w:p w14:paraId="715BE7DC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powerCoordination-FR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6DDAD004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NR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E6B1545" w14:textId="229B0331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p-maxUE-FR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</w:p>
    <w:p w14:paraId="6D1C06F4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869067E" w14:textId="1E69A5D7" w:rsidR="004F4BB6" w:rsidRDefault="004F4BB6" w:rsidP="00717A7A">
      <w:pPr>
        <w:pStyle w:val="BodyText"/>
        <w:rPr>
          <w:rFonts w:ascii="Arial" w:hAnsi="Arial" w:cs="Arial"/>
        </w:rPr>
      </w:pP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E95E43" w:rsidRPr="006D7DD4" w14:paraId="6468E66F" w14:textId="77777777" w:rsidTr="004E5646">
        <w:tc>
          <w:tcPr>
            <w:tcW w:w="9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067B" w14:textId="0FA8B3FD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p-maxNR-FR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2</w:t>
            </w:r>
          </w:p>
          <w:p w14:paraId="714E503B" w14:textId="194E7FAD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Indicates the maximum total transmit power to be used by the UE in the NR cell group across all serving cells in frequency range </w:t>
            </w:r>
            <w:r w:rsidR="004E5646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) (see TS 38.104 [12]) the UE can use in NR SCG.</w:t>
            </w:r>
          </w:p>
        </w:tc>
      </w:tr>
      <w:tr w:rsidR="00E95E43" w:rsidRPr="006D7DD4" w14:paraId="0A0B806F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2C08" w14:textId="64991970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p-maxUE-FR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2</w:t>
            </w:r>
          </w:p>
          <w:p w14:paraId="3C6F047A" w14:textId="4A767418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Indicates the maximum total transmit power to be used by the UE across all serving cells in frequency range </w:t>
            </w:r>
            <w:r w:rsidR="004E5646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).</w:t>
            </w:r>
          </w:p>
        </w:tc>
      </w:tr>
      <w:tr w:rsidR="00E95E43" w:rsidRPr="006D7DD4" w14:paraId="090F57AD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DA11" w14:textId="06891CFC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powerCoordination-FR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2</w:t>
            </w:r>
          </w:p>
          <w:p w14:paraId="309CC3C6" w14:textId="39CA4A11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power that the UE can use in FR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560BF5AE" w14:textId="77777777" w:rsidR="00E95E43" w:rsidRPr="006D7DD4" w:rsidRDefault="00E95E43" w:rsidP="00717A7A">
      <w:pPr>
        <w:pStyle w:val="BodyText"/>
        <w:rPr>
          <w:rFonts w:ascii="Arial" w:hAnsi="Arial" w:cs="Arial"/>
          <w:lang w:val="en-US"/>
        </w:rPr>
      </w:pPr>
    </w:p>
    <w:p w14:paraId="4C1CFB2F" w14:textId="5F5898E5" w:rsidR="00362064" w:rsidRPr="006D7DD4" w:rsidRDefault="004B7C0A" w:rsidP="00362064">
      <w:pPr>
        <w:pStyle w:val="Proposal"/>
        <w:rPr>
          <w:rFonts w:ascii="Arial" w:hAnsi="Arial" w:cs="Arial"/>
          <w:lang w:val="en-US"/>
        </w:rPr>
      </w:pPr>
      <w:bookmarkStart w:id="6" w:name="_Toc21007500"/>
      <w:r w:rsidRPr="006D7DD4">
        <w:rPr>
          <w:rFonts w:ascii="Arial" w:hAnsi="Arial" w:cs="Arial"/>
          <w:lang w:val="en-US"/>
        </w:rPr>
        <w:t xml:space="preserve">In case RAN1 agrees on FR2 support in both MCG and SCG for NR-DC, </w:t>
      </w:r>
      <w:r w:rsidRPr="006D7DD4">
        <w:rPr>
          <w:rFonts w:ascii="Arial" w:hAnsi="Arial" w:cs="Arial"/>
          <w:i/>
          <w:lang w:val="en-US"/>
        </w:rPr>
        <w:t>p</w:t>
      </w:r>
      <w:r w:rsidR="00362064" w:rsidRPr="006D7DD4">
        <w:rPr>
          <w:rFonts w:ascii="Arial" w:hAnsi="Arial" w:cs="Arial"/>
          <w:i/>
          <w:lang w:val="en-US"/>
        </w:rPr>
        <w:t>-maxNR-FR2</w:t>
      </w:r>
      <w:r w:rsidR="00362064" w:rsidRPr="006D7DD4">
        <w:rPr>
          <w:rFonts w:ascii="Arial" w:hAnsi="Arial" w:cs="Arial"/>
          <w:lang w:val="en-US"/>
        </w:rPr>
        <w:t xml:space="preserve"> and </w:t>
      </w:r>
      <w:r w:rsidRPr="006D7DD4">
        <w:rPr>
          <w:rFonts w:ascii="Arial" w:hAnsi="Arial" w:cs="Arial"/>
          <w:i/>
          <w:lang w:val="en-US"/>
        </w:rPr>
        <w:t>p</w:t>
      </w:r>
      <w:r w:rsidR="00362064" w:rsidRPr="006D7DD4">
        <w:rPr>
          <w:rFonts w:ascii="Arial" w:hAnsi="Arial" w:cs="Arial"/>
          <w:i/>
          <w:lang w:val="en-US"/>
        </w:rPr>
        <w:t>-max-FR2</w:t>
      </w:r>
      <w:r w:rsidR="00362064" w:rsidRPr="006D7DD4">
        <w:rPr>
          <w:rFonts w:ascii="Arial" w:hAnsi="Arial" w:cs="Arial"/>
          <w:lang w:val="en-US"/>
        </w:rPr>
        <w:t xml:space="preserve"> are added in </w:t>
      </w:r>
      <w:r w:rsidR="00362064" w:rsidRPr="006D7DD4">
        <w:rPr>
          <w:rFonts w:ascii="Arial" w:hAnsi="Arial" w:cs="Arial"/>
          <w:i/>
          <w:lang w:val="en-US"/>
        </w:rPr>
        <w:t>ConfigRestictInfoSCG</w:t>
      </w:r>
      <w:r w:rsidR="00362064" w:rsidRPr="006D7DD4">
        <w:rPr>
          <w:rFonts w:ascii="Arial" w:hAnsi="Arial" w:cs="Arial"/>
          <w:lang w:val="en-US"/>
        </w:rPr>
        <w:t xml:space="preserve"> to support power coordination between MCG and SCG for FR2 carriers.</w:t>
      </w:r>
      <w:bookmarkEnd w:id="6"/>
    </w:p>
    <w:p w14:paraId="3D9688C6" w14:textId="04792D34" w:rsidR="00E95E43" w:rsidRPr="006D7DD4" w:rsidRDefault="00E95E43" w:rsidP="00E95E43">
      <w:pPr>
        <w:pStyle w:val="BodyText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 xml:space="preserve">Correspondingly, a new field </w:t>
      </w:r>
      <w:r w:rsidRPr="006D7DD4">
        <w:rPr>
          <w:rFonts w:ascii="Arial" w:hAnsi="Arial" w:cs="Arial"/>
          <w:i/>
          <w:lang w:val="en-US"/>
        </w:rPr>
        <w:t>requestedP-MaxFR2</w:t>
      </w:r>
      <w:r w:rsidRPr="006D7DD4">
        <w:rPr>
          <w:rFonts w:ascii="Arial" w:hAnsi="Arial" w:cs="Arial"/>
          <w:lang w:val="en-US"/>
        </w:rPr>
        <w:t xml:space="preserve"> is needed</w:t>
      </w:r>
      <w:r w:rsidR="00297C29" w:rsidRPr="006D7DD4">
        <w:rPr>
          <w:rFonts w:ascii="Arial" w:hAnsi="Arial" w:cs="Arial"/>
          <w:lang w:val="en-US"/>
        </w:rPr>
        <w:t xml:space="preserve"> in e.g. </w:t>
      </w:r>
      <w:r w:rsidR="00297C29" w:rsidRPr="006D7DD4">
        <w:rPr>
          <w:rFonts w:ascii="Arial" w:hAnsi="Arial" w:cs="Arial"/>
          <w:i/>
          <w:lang w:val="en-US"/>
        </w:rPr>
        <w:t>ConfigRestricModReqSCG</w:t>
      </w:r>
      <w:r w:rsidRPr="006D7DD4">
        <w:rPr>
          <w:rFonts w:ascii="Arial" w:hAnsi="Arial" w:cs="Arial"/>
          <w:lang w:val="en-US"/>
        </w:rPr>
        <w:t xml:space="preserve"> to allow SN to request a different share of the maximum allowed transmit power on FR2.</w:t>
      </w:r>
    </w:p>
    <w:p w14:paraId="2E10FA0B" w14:textId="68B9EF38" w:rsidR="00E95E43" w:rsidRPr="00E95E43" w:rsidRDefault="00E95E43" w:rsidP="00E95E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bookmarkStart w:id="7" w:name="_Hlk10638803"/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requestedP-MaxFR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bookmarkEnd w:id="7"/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P-Max                                       </w:t>
      </w:r>
      <w:r w:rsidRPr="00E95E43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F5D302D" w14:textId="77777777" w:rsidR="00E95E43" w:rsidRPr="00E95E43" w:rsidRDefault="00E95E43" w:rsidP="00E95E43">
      <w:pPr>
        <w:pStyle w:val="BodyText"/>
        <w:rPr>
          <w:rFonts w:ascii="Arial" w:hAnsi="Arial" w:cs="Arial"/>
          <w:lang w:val="en-GB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5E43" w:rsidRPr="006D7DD4" w14:paraId="6C1E4F9F" w14:textId="77777777" w:rsidTr="008260D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198A" w14:textId="59CA605A" w:rsidR="00E95E43" w:rsidRPr="00E95E43" w:rsidRDefault="00E95E43" w:rsidP="00826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E95E43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requestedP-MaxFR</w:t>
            </w:r>
            <w:r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2</w:t>
            </w:r>
          </w:p>
          <w:p w14:paraId="7F048990" w14:textId="6D6755E3" w:rsidR="00E95E43" w:rsidRPr="00E95E43" w:rsidRDefault="00E95E43" w:rsidP="00826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Requested value for the maximum power for the serving cells on frequency range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2</w:t>
            </w: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2</w:t>
            </w: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) in this secondary cell group (see TS 38.104 [12]) the UE can use in NR SCG.</w:t>
            </w:r>
          </w:p>
        </w:tc>
      </w:tr>
    </w:tbl>
    <w:p w14:paraId="5BDCF2E1" w14:textId="61E17FC5" w:rsidR="00E95E43" w:rsidRDefault="00E95E43" w:rsidP="00E95E43">
      <w:pPr>
        <w:pStyle w:val="BodyText"/>
        <w:rPr>
          <w:rFonts w:ascii="Arial" w:hAnsi="Arial" w:cs="Arial"/>
          <w:lang w:val="en-GB"/>
        </w:rPr>
      </w:pPr>
    </w:p>
    <w:p w14:paraId="74432CD9" w14:textId="5CC719AE" w:rsidR="00E95E43" w:rsidRPr="006D7DD4" w:rsidRDefault="00E95E43" w:rsidP="00E95E43">
      <w:pPr>
        <w:pStyle w:val="Proposal"/>
        <w:rPr>
          <w:rFonts w:ascii="Arial" w:hAnsi="Arial" w:cs="Arial"/>
          <w:lang w:val="en-US"/>
        </w:rPr>
      </w:pPr>
      <w:bookmarkStart w:id="8" w:name="_Toc21007501"/>
      <w:r w:rsidRPr="006D7DD4">
        <w:rPr>
          <w:rFonts w:ascii="Arial" w:hAnsi="Arial" w:cs="Arial"/>
          <w:lang w:val="en-US"/>
        </w:rPr>
        <w:t xml:space="preserve">In case RAN1 agrees on FR2 support in both MCG and SCG for NR-DC, </w:t>
      </w:r>
      <w:r w:rsidRPr="006D7DD4">
        <w:rPr>
          <w:rFonts w:ascii="Arial" w:hAnsi="Arial" w:cs="Arial"/>
          <w:i/>
          <w:lang w:val="en-US"/>
        </w:rPr>
        <w:t xml:space="preserve">requestedP-MaxFR2 </w:t>
      </w:r>
      <w:r w:rsidRPr="006D7DD4">
        <w:rPr>
          <w:rFonts w:ascii="Arial" w:hAnsi="Arial" w:cs="Arial"/>
          <w:lang w:val="en-US"/>
        </w:rPr>
        <w:t xml:space="preserve">is added in </w:t>
      </w:r>
      <w:r w:rsidRPr="006D7DD4">
        <w:rPr>
          <w:rFonts w:ascii="Arial" w:hAnsi="Arial" w:cs="Arial"/>
          <w:i/>
          <w:lang w:val="en-US"/>
        </w:rPr>
        <w:t>ConfigRestictModReqSCG</w:t>
      </w:r>
      <w:r w:rsidRPr="006D7DD4">
        <w:rPr>
          <w:rFonts w:ascii="Arial" w:hAnsi="Arial" w:cs="Arial"/>
          <w:lang w:val="en-US"/>
        </w:rPr>
        <w:t xml:space="preserve"> to support </w:t>
      </w:r>
      <w:r w:rsidR="00BC525B" w:rsidRPr="006D7DD4">
        <w:rPr>
          <w:rFonts w:ascii="Arial" w:hAnsi="Arial" w:cs="Arial"/>
          <w:lang w:val="en-US"/>
        </w:rPr>
        <w:t xml:space="preserve">the </w:t>
      </w:r>
      <w:r w:rsidRPr="006D7DD4">
        <w:rPr>
          <w:rFonts w:ascii="Arial" w:hAnsi="Arial" w:cs="Arial"/>
          <w:lang w:val="en-US"/>
        </w:rPr>
        <w:t>possibility for SN to request a different share of the</w:t>
      </w:r>
      <w:r w:rsidR="00BC525B" w:rsidRPr="006D7DD4">
        <w:rPr>
          <w:rFonts w:ascii="Arial" w:hAnsi="Arial" w:cs="Arial"/>
          <w:lang w:val="en-US"/>
        </w:rPr>
        <w:t xml:space="preserve"> FR2</w:t>
      </w:r>
      <w:r w:rsidRPr="006D7DD4">
        <w:rPr>
          <w:rFonts w:ascii="Arial" w:hAnsi="Arial" w:cs="Arial"/>
          <w:lang w:val="en-US"/>
        </w:rPr>
        <w:t xml:space="preserve"> transmit power.</w:t>
      </w:r>
      <w:bookmarkEnd w:id="8"/>
    </w:p>
    <w:p w14:paraId="47166CAD" w14:textId="2C6F5B6C" w:rsidR="000507B7" w:rsidRDefault="000507B7" w:rsidP="000507B7">
      <w:pPr>
        <w:pStyle w:val="Heading2"/>
      </w:pPr>
      <w:r>
        <w:t xml:space="preserve">Dynamic power </w:t>
      </w:r>
      <w:r w:rsidR="003B3873">
        <w:t>sharing</w:t>
      </w:r>
    </w:p>
    <w:p w14:paraId="40376BD5" w14:textId="4E78BEC3" w:rsidR="000507B7" w:rsidRPr="006D7DD4" w:rsidRDefault="000507B7" w:rsidP="00717A7A">
      <w:pPr>
        <w:pStyle w:val="BodyText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>In Rel-15</w:t>
      </w:r>
      <w:r w:rsidR="00B01CD9" w:rsidRPr="006D7DD4">
        <w:rPr>
          <w:rFonts w:ascii="Arial" w:hAnsi="Arial" w:cs="Arial"/>
          <w:lang w:val="en-US"/>
        </w:rPr>
        <w:t xml:space="preserve"> EN-DC</w:t>
      </w:r>
      <w:r w:rsidRPr="006D7DD4">
        <w:rPr>
          <w:rFonts w:ascii="Arial" w:hAnsi="Arial" w:cs="Arial"/>
          <w:lang w:val="en-US"/>
        </w:rPr>
        <w:t>,</w:t>
      </w:r>
      <w:r w:rsidR="00B01CD9" w:rsidRPr="006D7DD4">
        <w:rPr>
          <w:rFonts w:ascii="Arial" w:hAnsi="Arial" w:cs="Arial"/>
          <w:lang w:val="en-US"/>
        </w:rPr>
        <w:t xml:space="preserve"> UEs capable of </w:t>
      </w:r>
      <w:r w:rsidRPr="006D7DD4">
        <w:rPr>
          <w:rFonts w:ascii="Arial" w:hAnsi="Arial" w:cs="Arial"/>
          <w:lang w:val="en-US"/>
        </w:rPr>
        <w:t>dynamic power sharing</w:t>
      </w:r>
      <w:r w:rsidR="003818C0" w:rsidRPr="006D7DD4">
        <w:rPr>
          <w:rFonts w:ascii="Arial" w:hAnsi="Arial" w:cs="Arial"/>
          <w:lang w:val="en-US"/>
        </w:rPr>
        <w:t xml:space="preserve"> </w:t>
      </w:r>
      <w:r w:rsidR="00B01CD9" w:rsidRPr="006D7DD4">
        <w:rPr>
          <w:rFonts w:ascii="Arial" w:hAnsi="Arial" w:cs="Arial"/>
          <w:lang w:val="en-US"/>
        </w:rPr>
        <w:t xml:space="preserve">will drop or scale down the transmit power of SCG when the combined tx power of MCG and SCG grows above the maximum allowed total tx power. The power </w:t>
      </w:r>
      <w:r w:rsidR="003B3873" w:rsidRPr="006D7DD4">
        <w:rPr>
          <w:rFonts w:ascii="Arial" w:hAnsi="Arial" w:cs="Arial"/>
          <w:lang w:val="en-US"/>
        </w:rPr>
        <w:t>sharing</w:t>
      </w:r>
      <w:r w:rsidR="00B01CD9" w:rsidRPr="006D7DD4">
        <w:rPr>
          <w:rFonts w:ascii="Arial" w:hAnsi="Arial" w:cs="Arial"/>
          <w:lang w:val="en-US"/>
        </w:rPr>
        <w:t xml:space="preserve"> is </w:t>
      </w:r>
      <w:r w:rsidR="003818C0" w:rsidRPr="006D7DD4">
        <w:rPr>
          <w:rFonts w:ascii="Arial" w:hAnsi="Arial" w:cs="Arial"/>
          <w:lang w:val="en-US"/>
        </w:rPr>
        <w:t xml:space="preserve">controlled by the field </w:t>
      </w:r>
      <w:r w:rsidR="003818C0" w:rsidRPr="006D7DD4">
        <w:rPr>
          <w:rFonts w:ascii="Arial" w:hAnsi="Arial" w:cs="Arial"/>
          <w:i/>
          <w:lang w:val="en-US"/>
        </w:rPr>
        <w:t>xScale</w:t>
      </w:r>
      <w:r w:rsidR="003818C0" w:rsidRPr="006D7DD4">
        <w:rPr>
          <w:rFonts w:ascii="Arial" w:hAnsi="Arial" w:cs="Arial"/>
          <w:lang w:val="en-US"/>
        </w:rPr>
        <w:t xml:space="preserve"> in </w:t>
      </w:r>
      <w:r w:rsidR="003818C0" w:rsidRPr="006D7DD4">
        <w:rPr>
          <w:rFonts w:ascii="Arial" w:eastAsia="Calibri" w:hAnsi="Arial" w:cs="Arial"/>
          <w:i/>
          <w:iCs/>
          <w:lang w:val="en-US"/>
        </w:rPr>
        <w:t>PhysicalCellGroupConfig</w:t>
      </w:r>
      <w:r w:rsidR="003818C0" w:rsidRPr="006D7DD4">
        <w:rPr>
          <w:rFonts w:ascii="Calibri" w:eastAsia="Calibri" w:hAnsi="Calibri" w:cs="Calibri"/>
          <w:i/>
          <w:iCs/>
          <w:lang w:val="en-US"/>
        </w:rPr>
        <w:t>.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0507B7" w:rsidRPr="006D7DD4" w14:paraId="4235CC9C" w14:textId="77777777" w:rsidTr="00297C29">
        <w:tc>
          <w:tcPr>
            <w:tcW w:w="9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4BD8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xScale</w:t>
            </w:r>
            <w:proofErr w:type="spellEnd"/>
          </w:p>
          <w:p w14:paraId="4FA6847F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UE </w:t>
            </w:r>
            <w:proofErr w:type="gram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is allowed to</w:t>
            </w:r>
            <w:proofErr w:type="gram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drop NR only if the power scaling applied to NR results in a difference between scaled and unscaled NR UL of more than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xScale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dB (see TS 38.101-3 [34]). If the value is not configured for dynamic power sharing, the UE assumes default value of 6 dB.</w:t>
            </w:r>
          </w:p>
        </w:tc>
      </w:tr>
    </w:tbl>
    <w:p w14:paraId="5FA29631" w14:textId="77777777" w:rsidR="00EC2B1A" w:rsidRPr="006D7DD4" w:rsidRDefault="00EC2B1A" w:rsidP="00717A7A">
      <w:pPr>
        <w:pStyle w:val="BodyText"/>
        <w:rPr>
          <w:rFonts w:ascii="Arial" w:hAnsi="Arial" w:cs="Arial"/>
          <w:lang w:val="en-US"/>
        </w:rPr>
      </w:pPr>
    </w:p>
    <w:p w14:paraId="3D21A7B1" w14:textId="2FFC15F4" w:rsidR="00864CCB" w:rsidRPr="006D7DD4" w:rsidRDefault="00864CCB" w:rsidP="00717A7A">
      <w:pPr>
        <w:pStyle w:val="BodyText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 xml:space="preserve">For </w:t>
      </w:r>
      <w:r w:rsidR="00B01CD9" w:rsidRPr="006D7DD4">
        <w:rPr>
          <w:rFonts w:ascii="Arial" w:hAnsi="Arial" w:cs="Arial"/>
          <w:lang w:val="en-US"/>
        </w:rPr>
        <w:t xml:space="preserve">Rel-16, </w:t>
      </w:r>
      <w:r w:rsidR="0027060D" w:rsidRPr="006D7DD4">
        <w:rPr>
          <w:rFonts w:ascii="Arial" w:hAnsi="Arial" w:cs="Arial"/>
          <w:lang w:val="en-US"/>
        </w:rPr>
        <w:t xml:space="preserve">the </w:t>
      </w:r>
      <w:r w:rsidRPr="006D7DD4">
        <w:rPr>
          <w:rFonts w:ascii="Arial" w:hAnsi="Arial" w:cs="Arial"/>
          <w:lang w:val="en-US"/>
        </w:rPr>
        <w:t>discussion</w:t>
      </w:r>
      <w:r w:rsidR="0027060D" w:rsidRPr="006D7DD4">
        <w:rPr>
          <w:rFonts w:ascii="Arial" w:hAnsi="Arial" w:cs="Arial"/>
          <w:lang w:val="en-US"/>
        </w:rPr>
        <w:t xml:space="preserve"> on dynamic power sharing support for NR-DC</w:t>
      </w:r>
      <w:r w:rsidRPr="006D7DD4">
        <w:rPr>
          <w:rFonts w:ascii="Arial" w:hAnsi="Arial" w:cs="Arial"/>
          <w:lang w:val="en-US"/>
        </w:rPr>
        <w:t xml:space="preserve"> is still ongoing in RAN1 </w:t>
      </w:r>
      <w:r>
        <w:rPr>
          <w:rFonts w:ascii="Arial" w:hAnsi="Arial" w:cs="Arial"/>
        </w:rPr>
        <w:fldChar w:fldCharType="begin"/>
      </w:r>
      <w:r w:rsidRPr="006D7DD4">
        <w:rPr>
          <w:rFonts w:ascii="Arial" w:hAnsi="Arial" w:cs="Arial"/>
          <w:lang w:val="en-US"/>
        </w:rPr>
        <w:instrText xml:space="preserve"> REF _Ref10632574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6D7DD4">
        <w:rPr>
          <w:rFonts w:ascii="Arial" w:hAnsi="Arial" w:cs="Arial"/>
          <w:lang w:val="en-US"/>
        </w:rPr>
        <w:t>[1]</w:t>
      </w:r>
      <w:r>
        <w:rPr>
          <w:rFonts w:ascii="Arial" w:hAnsi="Arial" w:cs="Arial"/>
        </w:rPr>
        <w:fldChar w:fldCharType="end"/>
      </w:r>
      <w:r w:rsidR="009A617F" w:rsidRPr="006D7DD4">
        <w:rPr>
          <w:rFonts w:ascii="Arial" w:hAnsi="Arial" w:cs="Arial"/>
          <w:lang w:val="en-US"/>
        </w:rPr>
        <w:t>,</w:t>
      </w:r>
      <w:r w:rsidR="007A2B6F">
        <w:rPr>
          <w:rFonts w:ascii="Arial" w:hAnsi="Arial" w:cs="Arial"/>
          <w:lang w:val="en-GB"/>
        </w:rPr>
        <w:t xml:space="preserve"> </w:t>
      </w:r>
      <w:r w:rsidR="007A2B6F">
        <w:rPr>
          <w:rFonts w:ascii="Arial" w:hAnsi="Arial" w:cs="Arial"/>
          <w:lang w:val="en-GB"/>
        </w:rPr>
        <w:fldChar w:fldCharType="begin"/>
      </w:r>
      <w:r w:rsidR="007A2B6F">
        <w:rPr>
          <w:rFonts w:ascii="Arial" w:hAnsi="Arial" w:cs="Arial"/>
          <w:lang w:val="en-GB"/>
        </w:rPr>
        <w:instrText xml:space="preserve"> REF _Ref20827179 \r \h </w:instrText>
      </w:r>
      <w:r w:rsidR="007A2B6F">
        <w:rPr>
          <w:rFonts w:ascii="Arial" w:hAnsi="Arial" w:cs="Arial"/>
          <w:lang w:val="en-GB"/>
        </w:rPr>
      </w:r>
      <w:r w:rsidR="007A2B6F">
        <w:rPr>
          <w:rFonts w:ascii="Arial" w:hAnsi="Arial" w:cs="Arial"/>
          <w:lang w:val="en-GB"/>
        </w:rPr>
        <w:fldChar w:fldCharType="separate"/>
      </w:r>
      <w:r w:rsidR="007A2B6F">
        <w:rPr>
          <w:rFonts w:ascii="Arial" w:hAnsi="Arial" w:cs="Arial"/>
          <w:lang w:val="en-GB"/>
        </w:rPr>
        <w:t>[2]</w:t>
      </w:r>
      <w:r w:rsidR="007A2B6F">
        <w:rPr>
          <w:rFonts w:ascii="Arial" w:hAnsi="Arial" w:cs="Arial"/>
          <w:lang w:val="en-GB"/>
        </w:rPr>
        <w:fldChar w:fldCharType="end"/>
      </w:r>
      <w:r w:rsidRPr="006D7DD4">
        <w:rPr>
          <w:rFonts w:ascii="Arial" w:hAnsi="Arial" w:cs="Arial"/>
          <w:lang w:val="en-US"/>
        </w:rPr>
        <w:t xml:space="preserve">. From discussion so far, there is wide support for supporting dynamic power </w:t>
      </w:r>
      <w:r w:rsidR="003B3873" w:rsidRPr="006D7DD4">
        <w:rPr>
          <w:rFonts w:ascii="Arial" w:hAnsi="Arial" w:cs="Arial"/>
          <w:lang w:val="en-US"/>
        </w:rPr>
        <w:t>sharing</w:t>
      </w:r>
      <w:r w:rsidRPr="006D7DD4">
        <w:rPr>
          <w:rFonts w:ascii="Arial" w:hAnsi="Arial" w:cs="Arial"/>
          <w:lang w:val="en-US"/>
        </w:rPr>
        <w:t xml:space="preserve"> for NR-DC</w:t>
      </w:r>
      <w:r w:rsidR="003827AB" w:rsidRPr="006D7DD4">
        <w:rPr>
          <w:rFonts w:ascii="Arial" w:hAnsi="Arial" w:cs="Arial"/>
          <w:lang w:val="en-US"/>
        </w:rPr>
        <w:t xml:space="preserve">, </w:t>
      </w:r>
      <w:r w:rsidR="00C2309A" w:rsidRPr="006D7DD4">
        <w:rPr>
          <w:rFonts w:ascii="Arial" w:hAnsi="Arial" w:cs="Arial"/>
          <w:lang w:val="en-US"/>
        </w:rPr>
        <w:t>which</w:t>
      </w:r>
      <w:r w:rsidR="00EF23D5" w:rsidRPr="006D7DD4">
        <w:rPr>
          <w:rFonts w:ascii="Arial" w:hAnsi="Arial" w:cs="Arial"/>
          <w:lang w:val="en-US"/>
        </w:rPr>
        <w:t xml:space="preserve"> </w:t>
      </w:r>
      <w:r w:rsidR="00C2309A" w:rsidRPr="006D7DD4">
        <w:rPr>
          <w:rFonts w:ascii="Arial" w:hAnsi="Arial" w:cs="Arial"/>
          <w:lang w:val="en-US"/>
        </w:rPr>
        <w:t>helps to maintain coverage and avoids transmission power underutilization</w:t>
      </w:r>
      <w:r w:rsidR="003827AB" w:rsidRPr="006D7DD4">
        <w:rPr>
          <w:rFonts w:ascii="Arial" w:hAnsi="Arial" w:cs="Arial"/>
          <w:lang w:val="en-US"/>
        </w:rPr>
        <w:t>.</w:t>
      </w:r>
      <w:r w:rsidR="00EF23D5" w:rsidRPr="006D7DD4">
        <w:rPr>
          <w:rFonts w:ascii="Arial" w:hAnsi="Arial" w:cs="Arial"/>
          <w:lang w:val="en-US"/>
        </w:rPr>
        <w:t xml:space="preserve"> Unless support for separate scaling for FR1 and FR2 is introduced, the</w:t>
      </w:r>
      <w:r w:rsidR="00731E5D" w:rsidRPr="006D7DD4">
        <w:rPr>
          <w:rFonts w:ascii="Arial" w:hAnsi="Arial" w:cs="Arial"/>
          <w:lang w:val="en-US"/>
        </w:rPr>
        <w:t xml:space="preserve"> </w:t>
      </w:r>
      <w:r w:rsidR="00EF23D5" w:rsidRPr="006D7DD4">
        <w:rPr>
          <w:rFonts w:ascii="Arial" w:hAnsi="Arial" w:cs="Arial"/>
          <w:lang w:val="en-US"/>
        </w:rPr>
        <w:t>current field can be reused.</w:t>
      </w:r>
      <w:r w:rsidR="004B7C0A" w:rsidRPr="006D7DD4">
        <w:rPr>
          <w:rFonts w:ascii="Arial" w:hAnsi="Arial" w:cs="Arial"/>
          <w:lang w:val="en-US"/>
        </w:rPr>
        <w:t xml:space="preserve"> </w:t>
      </w:r>
    </w:p>
    <w:p w14:paraId="453B74B7" w14:textId="36C0279E" w:rsidR="00EF23D5" w:rsidRPr="006D7DD4" w:rsidRDefault="00EF23D5" w:rsidP="00823AD3">
      <w:pPr>
        <w:pStyle w:val="Proposal"/>
        <w:rPr>
          <w:rFonts w:ascii="Arial" w:hAnsi="Arial" w:cs="Arial"/>
          <w:lang w:val="en-US"/>
        </w:rPr>
      </w:pPr>
      <w:bookmarkStart w:id="9" w:name="_Toc21007502"/>
      <w:r w:rsidRPr="006D7DD4">
        <w:rPr>
          <w:rFonts w:ascii="Arial" w:hAnsi="Arial" w:cs="Arial"/>
          <w:lang w:val="en-US"/>
        </w:rPr>
        <w:lastRenderedPageBreak/>
        <w:t xml:space="preserve">Unless separate scaling for FR1 and FR2 is introduced, the current field </w:t>
      </w:r>
      <w:r w:rsidRPr="006D7DD4">
        <w:rPr>
          <w:rFonts w:ascii="Arial" w:hAnsi="Arial" w:cs="Arial"/>
          <w:i/>
          <w:lang w:val="en-US"/>
        </w:rPr>
        <w:t>xScale</w:t>
      </w:r>
      <w:r w:rsidRPr="006D7DD4">
        <w:rPr>
          <w:rFonts w:ascii="Arial" w:hAnsi="Arial" w:cs="Arial"/>
          <w:lang w:val="en-US"/>
        </w:rPr>
        <w:t xml:space="preserve"> </w:t>
      </w:r>
      <w:r w:rsidR="00823AD3" w:rsidRPr="006D7DD4">
        <w:rPr>
          <w:rFonts w:ascii="Arial" w:hAnsi="Arial" w:cs="Arial"/>
          <w:lang w:val="en-US"/>
        </w:rPr>
        <w:t xml:space="preserve">is </w:t>
      </w:r>
      <w:r w:rsidR="00716E09" w:rsidRPr="006D7DD4">
        <w:rPr>
          <w:rFonts w:ascii="Arial" w:hAnsi="Arial" w:cs="Arial"/>
          <w:lang w:val="en-US"/>
        </w:rPr>
        <w:t xml:space="preserve">reused </w:t>
      </w:r>
      <w:r w:rsidRPr="006D7DD4">
        <w:rPr>
          <w:rFonts w:ascii="Arial" w:hAnsi="Arial" w:cs="Arial"/>
          <w:lang w:val="en-US"/>
        </w:rPr>
        <w:t xml:space="preserve">for configuring dynamic power </w:t>
      </w:r>
      <w:r w:rsidR="003B3873" w:rsidRPr="006D7DD4">
        <w:rPr>
          <w:rFonts w:ascii="Arial" w:hAnsi="Arial" w:cs="Arial"/>
          <w:lang w:val="en-US"/>
        </w:rPr>
        <w:t>sharing</w:t>
      </w:r>
      <w:r w:rsidR="000724D4" w:rsidRPr="006D7DD4">
        <w:rPr>
          <w:rFonts w:ascii="Arial" w:hAnsi="Arial" w:cs="Arial"/>
          <w:lang w:val="en-US"/>
        </w:rPr>
        <w:t xml:space="preserve"> in FR2</w:t>
      </w:r>
      <w:r w:rsidRPr="006D7DD4">
        <w:rPr>
          <w:rFonts w:ascii="Arial" w:hAnsi="Arial" w:cs="Arial"/>
          <w:lang w:val="en-US"/>
        </w:rPr>
        <w:t>.</w:t>
      </w:r>
      <w:bookmarkEnd w:id="9"/>
    </w:p>
    <w:p w14:paraId="465AAC06" w14:textId="77777777" w:rsidR="00C01F33" w:rsidRPr="008306CE" w:rsidRDefault="00C01F33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Conclusion</w:t>
      </w:r>
    </w:p>
    <w:p w14:paraId="4B349A81" w14:textId="42A602AC" w:rsidR="001E3172" w:rsidRPr="006D7DD4" w:rsidRDefault="008E065E" w:rsidP="001E3172">
      <w:pPr>
        <w:pStyle w:val="BodyText"/>
        <w:ind w:left="1560" w:hanging="1560"/>
        <w:rPr>
          <w:rFonts w:ascii="Arial" w:hAnsi="Arial" w:cs="Arial"/>
          <w:lang w:val="en-US"/>
        </w:rPr>
      </w:pPr>
      <w:r w:rsidRPr="006D7DD4">
        <w:rPr>
          <w:rFonts w:ascii="Arial" w:hAnsi="Arial" w:cs="Arial"/>
          <w:lang w:val="en-US"/>
        </w:rPr>
        <w:t>In</w:t>
      </w:r>
      <w:r w:rsidR="003818C0" w:rsidRPr="006D7DD4">
        <w:rPr>
          <w:rFonts w:ascii="Arial" w:hAnsi="Arial" w:cs="Arial"/>
          <w:lang w:val="en-US"/>
        </w:rPr>
        <w:t xml:space="preserve"> this contribution</w:t>
      </w:r>
      <w:r w:rsidRPr="006D7DD4">
        <w:rPr>
          <w:rFonts w:ascii="Arial" w:hAnsi="Arial" w:cs="Arial"/>
          <w:lang w:val="en-US"/>
        </w:rPr>
        <w:t xml:space="preserve"> we made the following observations:</w:t>
      </w:r>
    </w:p>
    <w:p w14:paraId="06219762" w14:textId="2B4CECD8" w:rsidR="00B44178" w:rsidRDefault="001E3172">
      <w:pPr>
        <w:pStyle w:val="TableofFigures"/>
        <w:tabs>
          <w:tab w:val="left" w:pos="1701"/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 w:val="0"/>
          <w:bCs/>
        </w:rPr>
        <w:instrText xml:space="preserve"> TOC \f O \n \h \z \t "Observation"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21007503" w:history="1">
        <w:r w:rsidR="00B44178" w:rsidRPr="005A0798">
          <w:rPr>
            <w:rStyle w:val="Hyperlink"/>
            <w:rFonts w:ascii="Arial" w:hAnsi="Arial" w:cs="Arial"/>
            <w:noProof/>
          </w:rPr>
          <w:t>Observation 1</w:t>
        </w:r>
        <w:r w:rsidR="00B44178">
          <w:rPr>
            <w:rFonts w:eastAsiaTheme="minorEastAsia"/>
            <w:b w:val="0"/>
            <w:noProof/>
            <w:lang w:eastAsia="sv-SE"/>
          </w:rPr>
          <w:tab/>
        </w:r>
        <w:r w:rsidR="00B44178" w:rsidRPr="005A0798">
          <w:rPr>
            <w:rStyle w:val="Hyperlink"/>
            <w:rFonts w:ascii="Arial" w:hAnsi="Arial" w:cs="Arial"/>
            <w:noProof/>
          </w:rPr>
          <w:t>In EN-DC, the possibility to configure max power for E-UTRA and NR cell groups and per UE were defined.</w:t>
        </w:r>
      </w:hyperlink>
    </w:p>
    <w:p w14:paraId="51B93B28" w14:textId="0A8939A4" w:rsidR="00B44178" w:rsidRDefault="006D7DD4">
      <w:pPr>
        <w:pStyle w:val="TableofFigures"/>
        <w:tabs>
          <w:tab w:val="left" w:pos="1701"/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21007504" w:history="1">
        <w:r w:rsidR="00B44178" w:rsidRPr="005A0798">
          <w:rPr>
            <w:rStyle w:val="Hyperlink"/>
            <w:rFonts w:ascii="Arial" w:hAnsi="Arial" w:cs="Arial"/>
            <w:noProof/>
          </w:rPr>
          <w:t>Observation 2</w:t>
        </w:r>
        <w:r w:rsidR="00B44178">
          <w:rPr>
            <w:rFonts w:eastAsiaTheme="minorEastAsia"/>
            <w:b w:val="0"/>
            <w:noProof/>
            <w:lang w:eastAsia="sv-SE"/>
          </w:rPr>
          <w:tab/>
        </w:r>
        <w:r w:rsidR="00B44178" w:rsidRPr="005A0798">
          <w:rPr>
            <w:rStyle w:val="Hyperlink"/>
            <w:rFonts w:ascii="Arial" w:hAnsi="Arial" w:cs="Arial"/>
            <w:noProof/>
          </w:rPr>
          <w:t>In EN-DC, semi-static power sharing was mandatory supported. Dynamic power sharing was supported based on UE capability.</w:t>
        </w:r>
      </w:hyperlink>
    </w:p>
    <w:p w14:paraId="458655F7" w14:textId="543B686A" w:rsidR="00887E6A" w:rsidRPr="006D7DD4" w:rsidRDefault="001E3172" w:rsidP="009267B1">
      <w:pPr>
        <w:pStyle w:val="BodyText"/>
        <w:ind w:left="1701" w:hanging="1701"/>
        <w:rPr>
          <w:rFonts w:ascii="Arial" w:hAnsi="Arial" w:cs="Arial"/>
          <w:b/>
          <w:bCs/>
          <w:lang w:val="en-US"/>
        </w:rPr>
      </w:pPr>
      <w:r w:rsidRPr="001247B4">
        <w:rPr>
          <w:rFonts w:ascii="Arial" w:hAnsi="Arial" w:cs="Arial"/>
          <w:b/>
          <w:bCs/>
        </w:rPr>
        <w:fldChar w:fldCharType="end"/>
      </w:r>
      <w:r w:rsidR="008E065E" w:rsidRPr="006D7DD4">
        <w:rPr>
          <w:rFonts w:ascii="Arial" w:hAnsi="Arial" w:cs="Arial"/>
          <w:lang w:val="en-US"/>
        </w:rPr>
        <w:t>Based on the discussion we propose the following:</w:t>
      </w:r>
      <w:bookmarkStart w:id="10" w:name="_Toc7707499"/>
      <w:bookmarkEnd w:id="10"/>
    </w:p>
    <w:p w14:paraId="707E54E2" w14:textId="77777777" w:rsidR="00B44178" w:rsidRDefault="00887E6A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 w:val="0"/>
          <w:bCs/>
        </w:rPr>
        <w:instrText xml:space="preserve"> TOC \n \h \z \t "Proposal"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21007499" w:history="1">
        <w:r w:rsidR="00B44178" w:rsidRPr="00C7197D">
          <w:rPr>
            <w:rStyle w:val="Hyperlink"/>
            <w:rFonts w:ascii="Arial" w:hAnsi="Arial" w:cs="Arial"/>
            <w:noProof/>
          </w:rPr>
          <w:t>Proposal 1</w:t>
        </w:r>
        <w:r w:rsidR="00B44178">
          <w:rPr>
            <w:rFonts w:eastAsiaTheme="minorEastAsia"/>
            <w:b w:val="0"/>
            <w:noProof/>
            <w:lang w:eastAsia="sv-SE"/>
          </w:rPr>
          <w:tab/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In case RAN1 agrees on FR2 support in both MCG and SCG for NR-DC,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 xml:space="preserve">p-NR-FR2 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and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>p-NR-FR2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 are added in </w:t>
        </w:r>
        <w:r w:rsidR="00B44178" w:rsidRPr="00C7197D">
          <w:rPr>
            <w:rStyle w:val="Hyperlink"/>
            <w:rFonts w:ascii="Arial" w:eastAsia="Calibri" w:hAnsi="Arial" w:cs="Arial"/>
            <w:i/>
            <w:iCs/>
            <w:noProof/>
          </w:rPr>
          <w:t>PhysicalCellGroupConfig</w:t>
        </w:r>
        <w:r w:rsidR="00B44178" w:rsidRPr="00C7197D">
          <w:rPr>
            <w:rStyle w:val="Hyperlink"/>
            <w:rFonts w:ascii="Arial" w:eastAsia="Calibri" w:hAnsi="Arial" w:cs="Arial"/>
            <w:noProof/>
          </w:rPr>
          <w:t xml:space="preserve"> </w:t>
        </w:r>
        <w:r w:rsidR="00B44178" w:rsidRPr="00C7197D">
          <w:rPr>
            <w:rStyle w:val="Hyperlink"/>
            <w:rFonts w:ascii="Arial" w:hAnsi="Arial" w:cs="Arial"/>
            <w:noProof/>
          </w:rPr>
          <w:t>to configure the max transmit power for serving cells operating in FR2.</w:t>
        </w:r>
      </w:hyperlink>
    </w:p>
    <w:p w14:paraId="398B51E5" w14:textId="77777777" w:rsidR="00B44178" w:rsidRDefault="006D7DD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21007500" w:history="1">
        <w:r w:rsidR="00B44178" w:rsidRPr="00C7197D">
          <w:rPr>
            <w:rStyle w:val="Hyperlink"/>
            <w:rFonts w:ascii="Arial" w:hAnsi="Arial" w:cs="Arial"/>
            <w:noProof/>
          </w:rPr>
          <w:t>Proposal 2</w:t>
        </w:r>
        <w:r w:rsidR="00B44178">
          <w:rPr>
            <w:rFonts w:eastAsiaTheme="minorEastAsia"/>
            <w:b w:val="0"/>
            <w:noProof/>
            <w:lang w:eastAsia="sv-SE"/>
          </w:rPr>
          <w:tab/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In case RAN1 agrees on FR2 support in both MCG and SCG for NR-DC,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>p-maxNR-FR2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 and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>p-max-FR2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 are added in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>ConfigRestictInfoSCG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 to support power coordination between MCG and SCG for FR2 carriers.</w:t>
        </w:r>
      </w:hyperlink>
    </w:p>
    <w:p w14:paraId="30D19855" w14:textId="77777777" w:rsidR="00B44178" w:rsidRDefault="006D7DD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21007501" w:history="1">
        <w:r w:rsidR="00B44178" w:rsidRPr="00C7197D">
          <w:rPr>
            <w:rStyle w:val="Hyperlink"/>
            <w:rFonts w:ascii="Arial" w:hAnsi="Arial" w:cs="Arial"/>
            <w:noProof/>
          </w:rPr>
          <w:t>Proposal 3</w:t>
        </w:r>
        <w:r w:rsidR="00B44178">
          <w:rPr>
            <w:rFonts w:eastAsiaTheme="minorEastAsia"/>
            <w:b w:val="0"/>
            <w:noProof/>
            <w:lang w:eastAsia="sv-SE"/>
          </w:rPr>
          <w:tab/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In case RAN1 agrees on FR2 support in both MCG and SCG for NR-DC,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 xml:space="preserve">requestedP-MaxFR2 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is added in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>ConfigRestictModReqSCG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 to support the possibility for SN to request a different share of the FR2 transmit power.</w:t>
        </w:r>
      </w:hyperlink>
    </w:p>
    <w:p w14:paraId="73CDBC0F" w14:textId="77777777" w:rsidR="00B44178" w:rsidRDefault="006D7DD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21007502" w:history="1">
        <w:r w:rsidR="00B44178" w:rsidRPr="00C7197D">
          <w:rPr>
            <w:rStyle w:val="Hyperlink"/>
            <w:rFonts w:ascii="Arial" w:hAnsi="Arial" w:cs="Arial"/>
            <w:noProof/>
          </w:rPr>
          <w:t>Proposal 4</w:t>
        </w:r>
        <w:r w:rsidR="00B44178">
          <w:rPr>
            <w:rFonts w:eastAsiaTheme="minorEastAsia"/>
            <w:b w:val="0"/>
            <w:noProof/>
            <w:lang w:eastAsia="sv-SE"/>
          </w:rPr>
          <w:tab/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Unless separate scaling for FR1 and FR2 is introduced, the current field </w:t>
        </w:r>
        <w:r w:rsidR="00B44178" w:rsidRPr="00C7197D">
          <w:rPr>
            <w:rStyle w:val="Hyperlink"/>
            <w:rFonts w:ascii="Arial" w:hAnsi="Arial" w:cs="Arial"/>
            <w:i/>
            <w:noProof/>
          </w:rPr>
          <w:t>xScale</w:t>
        </w:r>
        <w:r w:rsidR="00B44178" w:rsidRPr="00C7197D">
          <w:rPr>
            <w:rStyle w:val="Hyperlink"/>
            <w:rFonts w:ascii="Arial" w:hAnsi="Arial" w:cs="Arial"/>
            <w:noProof/>
          </w:rPr>
          <w:t xml:space="preserve"> is reused for configuring dynamic power sharing in FR2.</w:t>
        </w:r>
      </w:hyperlink>
    </w:p>
    <w:p w14:paraId="26FF8CB7" w14:textId="2A5A97CD" w:rsidR="00887E6A" w:rsidRDefault="00887E6A" w:rsidP="00887E6A">
      <w:pPr>
        <w:pStyle w:val="BodyText"/>
        <w:rPr>
          <w:rFonts w:ascii="Arial" w:hAnsi="Arial" w:cs="Arial"/>
          <w:b/>
          <w:bCs/>
        </w:rPr>
      </w:pPr>
      <w:r w:rsidRPr="001247B4">
        <w:rPr>
          <w:rFonts w:ascii="Arial" w:hAnsi="Arial" w:cs="Arial"/>
          <w:b/>
          <w:bCs/>
        </w:rPr>
        <w:fldChar w:fldCharType="end"/>
      </w:r>
    </w:p>
    <w:p w14:paraId="7D5652B8" w14:textId="56FC03A3" w:rsidR="00887E6A" w:rsidRDefault="008F4EB5" w:rsidP="008F4EB5">
      <w:pPr>
        <w:pStyle w:val="Heading1"/>
      </w:pPr>
      <w:r>
        <w:t>References</w:t>
      </w:r>
    </w:p>
    <w:p w14:paraId="72FF88D1" w14:textId="1E8ED3C7" w:rsidR="006C4855" w:rsidRPr="006D7DD4" w:rsidRDefault="006C4855" w:rsidP="008F4EB5">
      <w:pPr>
        <w:pStyle w:val="Reference"/>
        <w:rPr>
          <w:rFonts w:cstheme="minorHAnsi"/>
          <w:lang w:val="en-US"/>
        </w:rPr>
      </w:pPr>
      <w:r w:rsidRPr="006D7DD4">
        <w:rPr>
          <w:rFonts w:cstheme="minorHAnsi"/>
          <w:color w:val="212529"/>
          <w:lang w:val="en-US"/>
        </w:rPr>
        <w:t>R1-1907731, Feature lead summary for Uplink power control for supporting NN-DC, Intel</w:t>
      </w:r>
      <w:r w:rsidR="009A617F" w:rsidRPr="006D7DD4">
        <w:rPr>
          <w:rFonts w:cstheme="minorHAnsi"/>
          <w:color w:val="212529"/>
          <w:lang w:val="en-US"/>
        </w:rPr>
        <w:t xml:space="preserve">, RAN1#97, </w:t>
      </w:r>
      <w:r w:rsidR="00233B78" w:rsidRPr="006D7DD4">
        <w:rPr>
          <w:rFonts w:cstheme="minorHAnsi"/>
          <w:color w:val="212529"/>
          <w:lang w:val="en-US"/>
        </w:rPr>
        <w:t>Reno, USA 13</w:t>
      </w:r>
      <w:r w:rsidR="00233B78" w:rsidRPr="006D7DD4">
        <w:rPr>
          <w:rFonts w:cstheme="minorHAnsi"/>
          <w:color w:val="212529"/>
          <w:vertAlign w:val="superscript"/>
          <w:lang w:val="en-US"/>
        </w:rPr>
        <w:t>th</w:t>
      </w:r>
      <w:r w:rsidR="00233B78" w:rsidRPr="006D7DD4">
        <w:rPr>
          <w:rFonts w:cstheme="minorHAnsi"/>
          <w:color w:val="212529"/>
          <w:lang w:val="en-US"/>
        </w:rPr>
        <w:t xml:space="preserve"> – 17</w:t>
      </w:r>
      <w:r w:rsidR="00233B78" w:rsidRPr="006D7DD4">
        <w:rPr>
          <w:rFonts w:cstheme="minorHAnsi"/>
          <w:color w:val="212529"/>
          <w:vertAlign w:val="superscript"/>
          <w:lang w:val="en-US"/>
        </w:rPr>
        <w:t>th</w:t>
      </w:r>
      <w:r w:rsidR="00233B78" w:rsidRPr="006D7DD4">
        <w:rPr>
          <w:rFonts w:cstheme="minorHAnsi"/>
          <w:color w:val="212529"/>
          <w:lang w:val="en-US"/>
        </w:rPr>
        <w:t xml:space="preserve"> May 2019</w:t>
      </w:r>
    </w:p>
    <w:p w14:paraId="472FE754" w14:textId="237F1788" w:rsidR="009A617F" w:rsidRPr="006D7DD4" w:rsidRDefault="009A617F" w:rsidP="002254D6">
      <w:pPr>
        <w:pStyle w:val="Reference"/>
        <w:rPr>
          <w:rFonts w:cstheme="minorHAnsi"/>
          <w:lang w:val="en-US"/>
        </w:rPr>
      </w:pPr>
      <w:bookmarkStart w:id="11" w:name="_Ref20827179"/>
      <w:r w:rsidRPr="006D7DD4">
        <w:rPr>
          <w:rFonts w:cstheme="minorHAnsi"/>
          <w:lang w:val="en-US"/>
        </w:rPr>
        <w:t>R1-1909619, Feature lead summary for Uplink Power Control for Supporting NN-DC, Apple, RAN1#98, Prague, Czech Republic, 26th-30</w:t>
      </w:r>
      <w:r w:rsidRPr="006D7DD4">
        <w:rPr>
          <w:rFonts w:cstheme="minorHAnsi"/>
          <w:vertAlign w:val="superscript"/>
          <w:lang w:val="en-US"/>
        </w:rPr>
        <w:t>th</w:t>
      </w:r>
      <w:r w:rsidRPr="006D7DD4">
        <w:rPr>
          <w:rFonts w:cstheme="minorHAnsi"/>
          <w:lang w:val="en-US"/>
        </w:rPr>
        <w:t xml:space="preserve"> August 2019</w:t>
      </w:r>
      <w:bookmarkEnd w:id="11"/>
    </w:p>
    <w:sectPr w:rsidR="009A617F" w:rsidRPr="006D7DD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8498E" w14:textId="77777777" w:rsidR="00CC6697" w:rsidRDefault="00CC6697">
      <w:r>
        <w:separator/>
      </w:r>
    </w:p>
  </w:endnote>
  <w:endnote w:type="continuationSeparator" w:id="0">
    <w:p w14:paraId="55CA9DBB" w14:textId="77777777" w:rsidR="00CC6697" w:rsidRDefault="00CC6697">
      <w:r>
        <w:continuationSeparator/>
      </w:r>
    </w:p>
  </w:endnote>
  <w:endnote w:type="continuationNotice" w:id="1">
    <w:p w14:paraId="219FA8A2" w14:textId="77777777" w:rsidR="00CC6697" w:rsidRDefault="00CC66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00000001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03EA6" w14:textId="3B39088A" w:rsidR="008260DF" w:rsidRDefault="008260D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1E4DD" w14:textId="77777777" w:rsidR="00CC6697" w:rsidRDefault="00CC6697">
      <w:r>
        <w:separator/>
      </w:r>
    </w:p>
  </w:footnote>
  <w:footnote w:type="continuationSeparator" w:id="0">
    <w:p w14:paraId="7F38CC16" w14:textId="77777777" w:rsidR="00CC6697" w:rsidRDefault="00CC6697">
      <w:r>
        <w:continuationSeparator/>
      </w:r>
    </w:p>
  </w:footnote>
  <w:footnote w:type="continuationNotice" w:id="1">
    <w:p w14:paraId="60AA416D" w14:textId="77777777" w:rsidR="00CC6697" w:rsidRDefault="00CC66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E8E5" w14:textId="77777777" w:rsidR="008260DF" w:rsidRDefault="008260D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F14C8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6D2D3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320E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6B86"/>
    <w:multiLevelType w:val="hybridMultilevel"/>
    <w:tmpl w:val="A75C04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26A03B0"/>
    <w:lvl w:ilvl="0" w:tplc="DE98291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047C13"/>
    <w:multiLevelType w:val="hybridMultilevel"/>
    <w:tmpl w:val="3FE255BA"/>
    <w:lvl w:ilvl="0" w:tplc="091CE5B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93D21"/>
    <w:multiLevelType w:val="hybridMultilevel"/>
    <w:tmpl w:val="E6B2EB4E"/>
    <w:lvl w:ilvl="0" w:tplc="57DC0FC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C59347E"/>
    <w:multiLevelType w:val="hybridMultilevel"/>
    <w:tmpl w:val="810E74FC"/>
    <w:lvl w:ilvl="0" w:tplc="2184135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C669E"/>
    <w:multiLevelType w:val="hybridMultilevel"/>
    <w:tmpl w:val="EE2A5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62B9D"/>
    <w:multiLevelType w:val="hybridMultilevel"/>
    <w:tmpl w:val="0556247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7"/>
  </w:num>
  <w:num w:numId="16">
    <w:abstractNumId w:val="25"/>
  </w:num>
  <w:num w:numId="17">
    <w:abstractNumId w:val="16"/>
    <w:lvlOverride w:ilvl="0">
      <w:startOverride w:val="1"/>
    </w:lvlOverride>
  </w:num>
  <w:num w:numId="18">
    <w:abstractNumId w:val="22"/>
  </w:num>
  <w:num w:numId="19">
    <w:abstractNumId w:val="28"/>
  </w:num>
  <w:num w:numId="20">
    <w:abstractNumId w:val="1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9"/>
  </w:num>
  <w:num w:numId="26">
    <w:abstractNumId w:val="4"/>
  </w:num>
  <w:num w:numId="27">
    <w:abstractNumId w:val="24"/>
    <w:lvlOverride w:ilvl="0">
      <w:startOverride w:val="1"/>
    </w:lvlOverride>
  </w:num>
  <w:num w:numId="28">
    <w:abstractNumId w:val="18"/>
  </w:num>
  <w:num w:numId="29">
    <w:abstractNumId w:val="23"/>
  </w:num>
  <w:num w:numId="30">
    <w:abstractNumId w:val="20"/>
  </w:num>
  <w:num w:numId="3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O0NLA0MLMwMDOyMDNQ0lEKTi0uzszPAykwqgUAEt7g0CwAAAA="/>
  </w:docVars>
  <w:rsids>
    <w:rsidRoot w:val="00F33CB4"/>
    <w:rsid w:val="000006E1"/>
    <w:rsid w:val="00002A37"/>
    <w:rsid w:val="000039F4"/>
    <w:rsid w:val="00006446"/>
    <w:rsid w:val="00006896"/>
    <w:rsid w:val="000073BC"/>
    <w:rsid w:val="00007CDC"/>
    <w:rsid w:val="00011B28"/>
    <w:rsid w:val="00014B35"/>
    <w:rsid w:val="000151AE"/>
    <w:rsid w:val="00015D15"/>
    <w:rsid w:val="0002049D"/>
    <w:rsid w:val="0002564D"/>
    <w:rsid w:val="00025ECA"/>
    <w:rsid w:val="000325B8"/>
    <w:rsid w:val="00033361"/>
    <w:rsid w:val="00034C15"/>
    <w:rsid w:val="00036BA1"/>
    <w:rsid w:val="00037ABD"/>
    <w:rsid w:val="000422E2"/>
    <w:rsid w:val="00042F22"/>
    <w:rsid w:val="000444EF"/>
    <w:rsid w:val="000507B7"/>
    <w:rsid w:val="00052A07"/>
    <w:rsid w:val="000534E3"/>
    <w:rsid w:val="00053BA4"/>
    <w:rsid w:val="0005606A"/>
    <w:rsid w:val="00057117"/>
    <w:rsid w:val="000616E7"/>
    <w:rsid w:val="0006487E"/>
    <w:rsid w:val="00065E1A"/>
    <w:rsid w:val="000724D4"/>
    <w:rsid w:val="00077E5F"/>
    <w:rsid w:val="0008036A"/>
    <w:rsid w:val="00081AE6"/>
    <w:rsid w:val="000844F6"/>
    <w:rsid w:val="000855EB"/>
    <w:rsid w:val="00085B52"/>
    <w:rsid w:val="000866F2"/>
    <w:rsid w:val="0009009F"/>
    <w:rsid w:val="00091557"/>
    <w:rsid w:val="000924C1"/>
    <w:rsid w:val="000924F0"/>
    <w:rsid w:val="00092F72"/>
    <w:rsid w:val="00093474"/>
    <w:rsid w:val="0009510F"/>
    <w:rsid w:val="00095C1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2EB"/>
    <w:rsid w:val="000D7387"/>
    <w:rsid w:val="000D7496"/>
    <w:rsid w:val="000E043E"/>
    <w:rsid w:val="000E0527"/>
    <w:rsid w:val="000E1E92"/>
    <w:rsid w:val="000F06D6"/>
    <w:rsid w:val="000F0EB1"/>
    <w:rsid w:val="000F1106"/>
    <w:rsid w:val="000F3BE9"/>
    <w:rsid w:val="000F3F6C"/>
    <w:rsid w:val="000F5F0A"/>
    <w:rsid w:val="000F6DF3"/>
    <w:rsid w:val="001005FF"/>
    <w:rsid w:val="001062FB"/>
    <w:rsid w:val="001063E6"/>
    <w:rsid w:val="00113CF4"/>
    <w:rsid w:val="001153EA"/>
    <w:rsid w:val="00115643"/>
    <w:rsid w:val="0011611B"/>
    <w:rsid w:val="00116765"/>
    <w:rsid w:val="001219F5"/>
    <w:rsid w:val="00121A20"/>
    <w:rsid w:val="0012377F"/>
    <w:rsid w:val="00124314"/>
    <w:rsid w:val="00126306"/>
    <w:rsid w:val="00126B4A"/>
    <w:rsid w:val="0012799C"/>
    <w:rsid w:val="00132FD0"/>
    <w:rsid w:val="001344C0"/>
    <w:rsid w:val="001346FA"/>
    <w:rsid w:val="00135252"/>
    <w:rsid w:val="00136382"/>
    <w:rsid w:val="00137AB5"/>
    <w:rsid w:val="00137F0B"/>
    <w:rsid w:val="00137F91"/>
    <w:rsid w:val="00151E23"/>
    <w:rsid w:val="001526E0"/>
    <w:rsid w:val="001551B5"/>
    <w:rsid w:val="001659C1"/>
    <w:rsid w:val="001714B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374"/>
    <w:rsid w:val="001C1CE5"/>
    <w:rsid w:val="001C3D2A"/>
    <w:rsid w:val="001D2EA3"/>
    <w:rsid w:val="001D51BA"/>
    <w:rsid w:val="001D6342"/>
    <w:rsid w:val="001D6D53"/>
    <w:rsid w:val="001E3172"/>
    <w:rsid w:val="001E505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0E7"/>
    <w:rsid w:val="00214DA8"/>
    <w:rsid w:val="00215423"/>
    <w:rsid w:val="002158FA"/>
    <w:rsid w:val="00220600"/>
    <w:rsid w:val="002224DB"/>
    <w:rsid w:val="0022377C"/>
    <w:rsid w:val="00223FCB"/>
    <w:rsid w:val="002252C3"/>
    <w:rsid w:val="00225C54"/>
    <w:rsid w:val="00230765"/>
    <w:rsid w:val="002319E4"/>
    <w:rsid w:val="00233B78"/>
    <w:rsid w:val="00234519"/>
    <w:rsid w:val="00235632"/>
    <w:rsid w:val="00235872"/>
    <w:rsid w:val="00237E34"/>
    <w:rsid w:val="00241559"/>
    <w:rsid w:val="002435B3"/>
    <w:rsid w:val="002458EB"/>
    <w:rsid w:val="0024797F"/>
    <w:rsid w:val="002500C8"/>
    <w:rsid w:val="00256492"/>
    <w:rsid w:val="00257543"/>
    <w:rsid w:val="002617E7"/>
    <w:rsid w:val="00262AA9"/>
    <w:rsid w:val="00264228"/>
    <w:rsid w:val="00264334"/>
    <w:rsid w:val="0026473E"/>
    <w:rsid w:val="00266214"/>
    <w:rsid w:val="00267C83"/>
    <w:rsid w:val="0027060D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3B"/>
    <w:rsid w:val="00296227"/>
    <w:rsid w:val="00296F44"/>
    <w:rsid w:val="0029777D"/>
    <w:rsid w:val="00297C29"/>
    <w:rsid w:val="002A055E"/>
    <w:rsid w:val="002A1D4E"/>
    <w:rsid w:val="002A205D"/>
    <w:rsid w:val="002A2869"/>
    <w:rsid w:val="002B24D6"/>
    <w:rsid w:val="002C41E6"/>
    <w:rsid w:val="002D071A"/>
    <w:rsid w:val="002D34B2"/>
    <w:rsid w:val="002D7637"/>
    <w:rsid w:val="002E17F2"/>
    <w:rsid w:val="002E2603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A71"/>
    <w:rsid w:val="00317A53"/>
    <w:rsid w:val="003203ED"/>
    <w:rsid w:val="00322C9F"/>
    <w:rsid w:val="00324D23"/>
    <w:rsid w:val="00331751"/>
    <w:rsid w:val="00334579"/>
    <w:rsid w:val="00335858"/>
    <w:rsid w:val="003368F6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2064"/>
    <w:rsid w:val="0036504B"/>
    <w:rsid w:val="00367A8D"/>
    <w:rsid w:val="00370E47"/>
    <w:rsid w:val="0037326F"/>
    <w:rsid w:val="003742AC"/>
    <w:rsid w:val="00377CE1"/>
    <w:rsid w:val="003818C0"/>
    <w:rsid w:val="003827AB"/>
    <w:rsid w:val="00385BF0"/>
    <w:rsid w:val="003939FF"/>
    <w:rsid w:val="003A2223"/>
    <w:rsid w:val="003A2A0F"/>
    <w:rsid w:val="003A332E"/>
    <w:rsid w:val="003A45A1"/>
    <w:rsid w:val="003A5B0A"/>
    <w:rsid w:val="003A6BAC"/>
    <w:rsid w:val="003A7EF3"/>
    <w:rsid w:val="003B159C"/>
    <w:rsid w:val="003B369F"/>
    <w:rsid w:val="003B36A3"/>
    <w:rsid w:val="003B3873"/>
    <w:rsid w:val="003B38DD"/>
    <w:rsid w:val="003B460B"/>
    <w:rsid w:val="003B7FE5"/>
    <w:rsid w:val="003C11C8"/>
    <w:rsid w:val="003C2702"/>
    <w:rsid w:val="003C7806"/>
    <w:rsid w:val="003D109F"/>
    <w:rsid w:val="003D2478"/>
    <w:rsid w:val="003D3C45"/>
    <w:rsid w:val="003D47F0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603"/>
    <w:rsid w:val="00413AAC"/>
    <w:rsid w:val="00421105"/>
    <w:rsid w:val="00421382"/>
    <w:rsid w:val="004242F4"/>
    <w:rsid w:val="00427248"/>
    <w:rsid w:val="00432270"/>
    <w:rsid w:val="00435F04"/>
    <w:rsid w:val="00437447"/>
    <w:rsid w:val="00441731"/>
    <w:rsid w:val="00441A92"/>
    <w:rsid w:val="004434C4"/>
    <w:rsid w:val="00444F56"/>
    <w:rsid w:val="00446488"/>
    <w:rsid w:val="004517AA"/>
    <w:rsid w:val="00452417"/>
    <w:rsid w:val="00452CAC"/>
    <w:rsid w:val="00457565"/>
    <w:rsid w:val="00457B71"/>
    <w:rsid w:val="004625A7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413"/>
    <w:rsid w:val="004A5618"/>
    <w:rsid w:val="004B1A9B"/>
    <w:rsid w:val="004B3C76"/>
    <w:rsid w:val="004B7C0A"/>
    <w:rsid w:val="004B7C0C"/>
    <w:rsid w:val="004C2DB9"/>
    <w:rsid w:val="004C3898"/>
    <w:rsid w:val="004D36B1"/>
    <w:rsid w:val="004D4BEF"/>
    <w:rsid w:val="004D7EBD"/>
    <w:rsid w:val="004E2680"/>
    <w:rsid w:val="004E28F9"/>
    <w:rsid w:val="004E462E"/>
    <w:rsid w:val="004E5646"/>
    <w:rsid w:val="004E56DC"/>
    <w:rsid w:val="004E76F4"/>
    <w:rsid w:val="004F03C5"/>
    <w:rsid w:val="004F0B4E"/>
    <w:rsid w:val="004F0B6C"/>
    <w:rsid w:val="004F2078"/>
    <w:rsid w:val="004F4BB6"/>
    <w:rsid w:val="004F4DA3"/>
    <w:rsid w:val="004F5259"/>
    <w:rsid w:val="00506557"/>
    <w:rsid w:val="0050677A"/>
    <w:rsid w:val="005108D8"/>
    <w:rsid w:val="005116F9"/>
    <w:rsid w:val="00513ECD"/>
    <w:rsid w:val="005153A7"/>
    <w:rsid w:val="005219CF"/>
    <w:rsid w:val="00534B59"/>
    <w:rsid w:val="00536759"/>
    <w:rsid w:val="00537C62"/>
    <w:rsid w:val="00546970"/>
    <w:rsid w:val="00546DB2"/>
    <w:rsid w:val="0055068D"/>
    <w:rsid w:val="00554E19"/>
    <w:rsid w:val="00556EE3"/>
    <w:rsid w:val="0056121F"/>
    <w:rsid w:val="00566250"/>
    <w:rsid w:val="00572505"/>
    <w:rsid w:val="00582809"/>
    <w:rsid w:val="0058798C"/>
    <w:rsid w:val="005900FA"/>
    <w:rsid w:val="005929A8"/>
    <w:rsid w:val="005935A4"/>
    <w:rsid w:val="005948C2"/>
    <w:rsid w:val="00595DCA"/>
    <w:rsid w:val="0059779B"/>
    <w:rsid w:val="005A209A"/>
    <w:rsid w:val="005A2634"/>
    <w:rsid w:val="005A662D"/>
    <w:rsid w:val="005B2436"/>
    <w:rsid w:val="005B35D7"/>
    <w:rsid w:val="005B392A"/>
    <w:rsid w:val="005B3AA3"/>
    <w:rsid w:val="005B591A"/>
    <w:rsid w:val="005B6F83"/>
    <w:rsid w:val="005C02AD"/>
    <w:rsid w:val="005C74FB"/>
    <w:rsid w:val="005D1602"/>
    <w:rsid w:val="005D23F9"/>
    <w:rsid w:val="005E03C7"/>
    <w:rsid w:val="005E385F"/>
    <w:rsid w:val="005E5B81"/>
    <w:rsid w:val="005E7182"/>
    <w:rsid w:val="005F2CB1"/>
    <w:rsid w:val="005F3025"/>
    <w:rsid w:val="005F618C"/>
    <w:rsid w:val="005F70BD"/>
    <w:rsid w:val="005F7170"/>
    <w:rsid w:val="0060283C"/>
    <w:rsid w:val="00604F14"/>
    <w:rsid w:val="00611B83"/>
    <w:rsid w:val="00613257"/>
    <w:rsid w:val="00613A23"/>
    <w:rsid w:val="006177BC"/>
    <w:rsid w:val="00620A71"/>
    <w:rsid w:val="00620D80"/>
    <w:rsid w:val="006234A6"/>
    <w:rsid w:val="00624660"/>
    <w:rsid w:val="00630001"/>
    <w:rsid w:val="00630318"/>
    <w:rsid w:val="006311B3"/>
    <w:rsid w:val="00631CA0"/>
    <w:rsid w:val="00631E6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5A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485"/>
    <w:rsid w:val="006A46FB"/>
    <w:rsid w:val="006A5E28"/>
    <w:rsid w:val="006A697B"/>
    <w:rsid w:val="006A7AFF"/>
    <w:rsid w:val="006B1816"/>
    <w:rsid w:val="006B2099"/>
    <w:rsid w:val="006B50CF"/>
    <w:rsid w:val="006B6408"/>
    <w:rsid w:val="006C03B8"/>
    <w:rsid w:val="006C4855"/>
    <w:rsid w:val="006C5EC9"/>
    <w:rsid w:val="006C6059"/>
    <w:rsid w:val="006C7522"/>
    <w:rsid w:val="006D1E26"/>
    <w:rsid w:val="006D6F08"/>
    <w:rsid w:val="006D7DD4"/>
    <w:rsid w:val="006E062C"/>
    <w:rsid w:val="006E114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47A"/>
    <w:rsid w:val="00712287"/>
    <w:rsid w:val="00712772"/>
    <w:rsid w:val="007148D3"/>
    <w:rsid w:val="00715B9A"/>
    <w:rsid w:val="00716E09"/>
    <w:rsid w:val="00717A7A"/>
    <w:rsid w:val="00724637"/>
    <w:rsid w:val="00726EA6"/>
    <w:rsid w:val="00727208"/>
    <w:rsid w:val="007274E6"/>
    <w:rsid w:val="00727680"/>
    <w:rsid w:val="00727CEC"/>
    <w:rsid w:val="00731E5D"/>
    <w:rsid w:val="007348B1"/>
    <w:rsid w:val="00734C94"/>
    <w:rsid w:val="007362A6"/>
    <w:rsid w:val="00736D7D"/>
    <w:rsid w:val="00740E58"/>
    <w:rsid w:val="007445A0"/>
    <w:rsid w:val="0074524B"/>
    <w:rsid w:val="007459D5"/>
    <w:rsid w:val="00747D8B"/>
    <w:rsid w:val="00751228"/>
    <w:rsid w:val="00754D69"/>
    <w:rsid w:val="007558A5"/>
    <w:rsid w:val="007571E1"/>
    <w:rsid w:val="007604B2"/>
    <w:rsid w:val="00765281"/>
    <w:rsid w:val="00766BAD"/>
    <w:rsid w:val="007730BD"/>
    <w:rsid w:val="00774562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1B0"/>
    <w:rsid w:val="007A2B6F"/>
    <w:rsid w:val="007A306F"/>
    <w:rsid w:val="007A43A6"/>
    <w:rsid w:val="007A58A6"/>
    <w:rsid w:val="007B3D2D"/>
    <w:rsid w:val="007B4023"/>
    <w:rsid w:val="007B50AE"/>
    <w:rsid w:val="007B51DF"/>
    <w:rsid w:val="007C05DD"/>
    <w:rsid w:val="007C3D18"/>
    <w:rsid w:val="007C5904"/>
    <w:rsid w:val="007C60BF"/>
    <w:rsid w:val="007C6A07"/>
    <w:rsid w:val="007C6E76"/>
    <w:rsid w:val="007C75A1"/>
    <w:rsid w:val="007C77A5"/>
    <w:rsid w:val="007D04E5"/>
    <w:rsid w:val="007D5901"/>
    <w:rsid w:val="007D7526"/>
    <w:rsid w:val="007E0C91"/>
    <w:rsid w:val="007E4610"/>
    <w:rsid w:val="007E4715"/>
    <w:rsid w:val="007E505B"/>
    <w:rsid w:val="007E68FE"/>
    <w:rsid w:val="007E7091"/>
    <w:rsid w:val="007F78C6"/>
    <w:rsid w:val="00801922"/>
    <w:rsid w:val="00801B0B"/>
    <w:rsid w:val="00803FAE"/>
    <w:rsid w:val="0080605F"/>
    <w:rsid w:val="00807786"/>
    <w:rsid w:val="00811FCB"/>
    <w:rsid w:val="0081422A"/>
    <w:rsid w:val="008158D6"/>
    <w:rsid w:val="00817196"/>
    <w:rsid w:val="008235DB"/>
    <w:rsid w:val="00823AD3"/>
    <w:rsid w:val="00824AB4"/>
    <w:rsid w:val="00825C42"/>
    <w:rsid w:val="00825D25"/>
    <w:rsid w:val="008260DF"/>
    <w:rsid w:val="00827138"/>
    <w:rsid w:val="00827D6F"/>
    <w:rsid w:val="008306CE"/>
    <w:rsid w:val="008376AC"/>
    <w:rsid w:val="00844308"/>
    <w:rsid w:val="008444E8"/>
    <w:rsid w:val="00844E80"/>
    <w:rsid w:val="00846FE7"/>
    <w:rsid w:val="00847E67"/>
    <w:rsid w:val="00854F97"/>
    <w:rsid w:val="00856911"/>
    <w:rsid w:val="00861B19"/>
    <w:rsid w:val="008646BD"/>
    <w:rsid w:val="00864CCB"/>
    <w:rsid w:val="008677FD"/>
    <w:rsid w:val="008706D4"/>
    <w:rsid w:val="00870F8A"/>
    <w:rsid w:val="008712B6"/>
    <w:rsid w:val="008719A4"/>
    <w:rsid w:val="00871D23"/>
    <w:rsid w:val="00873D43"/>
    <w:rsid w:val="00874312"/>
    <w:rsid w:val="0087437C"/>
    <w:rsid w:val="00874536"/>
    <w:rsid w:val="00874815"/>
    <w:rsid w:val="008752D4"/>
    <w:rsid w:val="00875CD7"/>
    <w:rsid w:val="00876B4D"/>
    <w:rsid w:val="00877F18"/>
    <w:rsid w:val="00882EFB"/>
    <w:rsid w:val="00885942"/>
    <w:rsid w:val="00887E6A"/>
    <w:rsid w:val="00893F9E"/>
    <w:rsid w:val="00894A88"/>
    <w:rsid w:val="00895386"/>
    <w:rsid w:val="008A21FF"/>
    <w:rsid w:val="008A2CE2"/>
    <w:rsid w:val="008A30AC"/>
    <w:rsid w:val="008A44B8"/>
    <w:rsid w:val="008A51A8"/>
    <w:rsid w:val="008A54C7"/>
    <w:rsid w:val="008A64C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C5F"/>
    <w:rsid w:val="008E7455"/>
    <w:rsid w:val="008F1EAB"/>
    <w:rsid w:val="008F33DC"/>
    <w:rsid w:val="008F477F"/>
    <w:rsid w:val="008F4EB5"/>
    <w:rsid w:val="008F6676"/>
    <w:rsid w:val="008F6D53"/>
    <w:rsid w:val="00902350"/>
    <w:rsid w:val="0090336B"/>
    <w:rsid w:val="00903918"/>
    <w:rsid w:val="009053AA"/>
    <w:rsid w:val="00906939"/>
    <w:rsid w:val="00910B7D"/>
    <w:rsid w:val="00911DFB"/>
    <w:rsid w:val="0091290A"/>
    <w:rsid w:val="009139D9"/>
    <w:rsid w:val="00914AD8"/>
    <w:rsid w:val="00914DB8"/>
    <w:rsid w:val="00916079"/>
    <w:rsid w:val="00917CE9"/>
    <w:rsid w:val="0092099F"/>
    <w:rsid w:val="00920BF2"/>
    <w:rsid w:val="00922010"/>
    <w:rsid w:val="009226BC"/>
    <w:rsid w:val="009267B1"/>
    <w:rsid w:val="009310F6"/>
    <w:rsid w:val="00931BD9"/>
    <w:rsid w:val="00936279"/>
    <w:rsid w:val="009368F3"/>
    <w:rsid w:val="009407B1"/>
    <w:rsid w:val="00941636"/>
    <w:rsid w:val="00942049"/>
    <w:rsid w:val="00943742"/>
    <w:rsid w:val="00945C05"/>
    <w:rsid w:val="00946945"/>
    <w:rsid w:val="00947713"/>
    <w:rsid w:val="00950DE7"/>
    <w:rsid w:val="00950DEC"/>
    <w:rsid w:val="0095146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A2"/>
    <w:rsid w:val="0097603D"/>
    <w:rsid w:val="00976949"/>
    <w:rsid w:val="00980477"/>
    <w:rsid w:val="00985253"/>
    <w:rsid w:val="009853B3"/>
    <w:rsid w:val="00990630"/>
    <w:rsid w:val="00991761"/>
    <w:rsid w:val="009922D3"/>
    <w:rsid w:val="00994DCA"/>
    <w:rsid w:val="009960EC"/>
    <w:rsid w:val="009970DD"/>
    <w:rsid w:val="009A0FBA"/>
    <w:rsid w:val="009A1601"/>
    <w:rsid w:val="009A462D"/>
    <w:rsid w:val="009A5CBA"/>
    <w:rsid w:val="009A617F"/>
    <w:rsid w:val="009B1F30"/>
    <w:rsid w:val="009B2034"/>
    <w:rsid w:val="009B3AC2"/>
    <w:rsid w:val="009B4DF4"/>
    <w:rsid w:val="009B564E"/>
    <w:rsid w:val="009B5EAD"/>
    <w:rsid w:val="009B7E87"/>
    <w:rsid w:val="009C403E"/>
    <w:rsid w:val="009D4FF0"/>
    <w:rsid w:val="009D703C"/>
    <w:rsid w:val="009D718F"/>
    <w:rsid w:val="009E068F"/>
    <w:rsid w:val="009E14E0"/>
    <w:rsid w:val="009E35DB"/>
    <w:rsid w:val="009E3DFA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3DC"/>
    <w:rsid w:val="00A36297"/>
    <w:rsid w:val="00A41E2B"/>
    <w:rsid w:val="00A44F8D"/>
    <w:rsid w:val="00A45B74"/>
    <w:rsid w:val="00A52E1D"/>
    <w:rsid w:val="00A54C6E"/>
    <w:rsid w:val="00A5591C"/>
    <w:rsid w:val="00A60C3A"/>
    <w:rsid w:val="00A60CCF"/>
    <w:rsid w:val="00A610A8"/>
    <w:rsid w:val="00A61499"/>
    <w:rsid w:val="00A626E7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BDB"/>
    <w:rsid w:val="00A919F1"/>
    <w:rsid w:val="00A92879"/>
    <w:rsid w:val="00A9442A"/>
    <w:rsid w:val="00AA016F"/>
    <w:rsid w:val="00AA116A"/>
    <w:rsid w:val="00AA1ED6"/>
    <w:rsid w:val="00AA4759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284"/>
    <w:rsid w:val="00AC418F"/>
    <w:rsid w:val="00AC49FB"/>
    <w:rsid w:val="00AC5A10"/>
    <w:rsid w:val="00AD0AA3"/>
    <w:rsid w:val="00AD3F94"/>
    <w:rsid w:val="00AD4A5A"/>
    <w:rsid w:val="00AE1B56"/>
    <w:rsid w:val="00AE27AC"/>
    <w:rsid w:val="00AE3743"/>
    <w:rsid w:val="00AE40E0"/>
    <w:rsid w:val="00AE4DBA"/>
    <w:rsid w:val="00AE4F07"/>
    <w:rsid w:val="00AE6D20"/>
    <w:rsid w:val="00AF0152"/>
    <w:rsid w:val="00AF1C5D"/>
    <w:rsid w:val="00AF42D7"/>
    <w:rsid w:val="00AF6A1E"/>
    <w:rsid w:val="00B003E6"/>
    <w:rsid w:val="00B006FE"/>
    <w:rsid w:val="00B007CB"/>
    <w:rsid w:val="00B01026"/>
    <w:rsid w:val="00B01CD9"/>
    <w:rsid w:val="00B02621"/>
    <w:rsid w:val="00B02AA9"/>
    <w:rsid w:val="00B02FA3"/>
    <w:rsid w:val="00B05084"/>
    <w:rsid w:val="00B157F9"/>
    <w:rsid w:val="00B1783D"/>
    <w:rsid w:val="00B20256"/>
    <w:rsid w:val="00B20D09"/>
    <w:rsid w:val="00B2763F"/>
    <w:rsid w:val="00B27AAC"/>
    <w:rsid w:val="00B30929"/>
    <w:rsid w:val="00B34996"/>
    <w:rsid w:val="00B372AA"/>
    <w:rsid w:val="00B40445"/>
    <w:rsid w:val="00B408E0"/>
    <w:rsid w:val="00B41888"/>
    <w:rsid w:val="00B44178"/>
    <w:rsid w:val="00B45A52"/>
    <w:rsid w:val="00B46175"/>
    <w:rsid w:val="00B605E0"/>
    <w:rsid w:val="00B6188F"/>
    <w:rsid w:val="00B664C7"/>
    <w:rsid w:val="00B66D0C"/>
    <w:rsid w:val="00B732A0"/>
    <w:rsid w:val="00B739F6"/>
    <w:rsid w:val="00B7601F"/>
    <w:rsid w:val="00B81A6C"/>
    <w:rsid w:val="00B82F8F"/>
    <w:rsid w:val="00B85DE5"/>
    <w:rsid w:val="00B90F73"/>
    <w:rsid w:val="00B93B59"/>
    <w:rsid w:val="00B93D86"/>
    <w:rsid w:val="00B9406A"/>
    <w:rsid w:val="00B96C2E"/>
    <w:rsid w:val="00BA13F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25B"/>
    <w:rsid w:val="00BD48AC"/>
    <w:rsid w:val="00BD5F1A"/>
    <w:rsid w:val="00BE1234"/>
    <w:rsid w:val="00BE2FA6"/>
    <w:rsid w:val="00BE333F"/>
    <w:rsid w:val="00BE5EE8"/>
    <w:rsid w:val="00BE7406"/>
    <w:rsid w:val="00BE7603"/>
    <w:rsid w:val="00BF20E4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F1E"/>
    <w:rsid w:val="00C2309A"/>
    <w:rsid w:val="00C24345"/>
    <w:rsid w:val="00C279B5"/>
    <w:rsid w:val="00C27C45"/>
    <w:rsid w:val="00C31B69"/>
    <w:rsid w:val="00C3719D"/>
    <w:rsid w:val="00C46392"/>
    <w:rsid w:val="00C54995"/>
    <w:rsid w:val="00C54D41"/>
    <w:rsid w:val="00C5591D"/>
    <w:rsid w:val="00C60783"/>
    <w:rsid w:val="00C64672"/>
    <w:rsid w:val="00C656B3"/>
    <w:rsid w:val="00C70697"/>
    <w:rsid w:val="00C72EF4"/>
    <w:rsid w:val="00C75D2F"/>
    <w:rsid w:val="00C76655"/>
    <w:rsid w:val="00C767BE"/>
    <w:rsid w:val="00C76E3C"/>
    <w:rsid w:val="00C81568"/>
    <w:rsid w:val="00C815E0"/>
    <w:rsid w:val="00C9027A"/>
    <w:rsid w:val="00C9068E"/>
    <w:rsid w:val="00C93C4B"/>
    <w:rsid w:val="00C94067"/>
    <w:rsid w:val="00C944AB"/>
    <w:rsid w:val="00C95B40"/>
    <w:rsid w:val="00CA1ED8"/>
    <w:rsid w:val="00CB1F63"/>
    <w:rsid w:val="00CB7170"/>
    <w:rsid w:val="00CC040E"/>
    <w:rsid w:val="00CC111F"/>
    <w:rsid w:val="00CC2011"/>
    <w:rsid w:val="00CC3E48"/>
    <w:rsid w:val="00CC3EA0"/>
    <w:rsid w:val="00CC5677"/>
    <w:rsid w:val="00CC6697"/>
    <w:rsid w:val="00CC7B45"/>
    <w:rsid w:val="00CD1188"/>
    <w:rsid w:val="00CD2ED1"/>
    <w:rsid w:val="00CD337B"/>
    <w:rsid w:val="00CD7E83"/>
    <w:rsid w:val="00CE0424"/>
    <w:rsid w:val="00CE199C"/>
    <w:rsid w:val="00CE5818"/>
    <w:rsid w:val="00CE7561"/>
    <w:rsid w:val="00CF0054"/>
    <w:rsid w:val="00CF1354"/>
    <w:rsid w:val="00CF36C7"/>
    <w:rsid w:val="00CF3B1F"/>
    <w:rsid w:val="00CF3BF6"/>
    <w:rsid w:val="00CF625B"/>
    <w:rsid w:val="00CF687E"/>
    <w:rsid w:val="00CF6FC0"/>
    <w:rsid w:val="00D0349B"/>
    <w:rsid w:val="00D04D3F"/>
    <w:rsid w:val="00D058F0"/>
    <w:rsid w:val="00D10249"/>
    <w:rsid w:val="00D10D50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6EB0"/>
    <w:rsid w:val="00D576CA"/>
    <w:rsid w:val="00D61AF5"/>
    <w:rsid w:val="00D652B5"/>
    <w:rsid w:val="00D6610C"/>
    <w:rsid w:val="00D66155"/>
    <w:rsid w:val="00D66F2A"/>
    <w:rsid w:val="00D70736"/>
    <w:rsid w:val="00D708B0"/>
    <w:rsid w:val="00D77B1D"/>
    <w:rsid w:val="00D8021F"/>
    <w:rsid w:val="00D80383"/>
    <w:rsid w:val="00D823C6"/>
    <w:rsid w:val="00D8376F"/>
    <w:rsid w:val="00D86CA3"/>
    <w:rsid w:val="00D871CE"/>
    <w:rsid w:val="00D9014B"/>
    <w:rsid w:val="00D9196D"/>
    <w:rsid w:val="00D92982"/>
    <w:rsid w:val="00D95116"/>
    <w:rsid w:val="00DA29D8"/>
    <w:rsid w:val="00DA305E"/>
    <w:rsid w:val="00DA3A19"/>
    <w:rsid w:val="00DA5417"/>
    <w:rsid w:val="00DA5629"/>
    <w:rsid w:val="00DA56E8"/>
    <w:rsid w:val="00DA7B27"/>
    <w:rsid w:val="00DB0A9F"/>
    <w:rsid w:val="00DB213E"/>
    <w:rsid w:val="00DB377D"/>
    <w:rsid w:val="00DB539E"/>
    <w:rsid w:val="00DC2364"/>
    <w:rsid w:val="00DC2D36"/>
    <w:rsid w:val="00DC53EF"/>
    <w:rsid w:val="00DE5608"/>
    <w:rsid w:val="00DE58D0"/>
    <w:rsid w:val="00DE654F"/>
    <w:rsid w:val="00DE6ED3"/>
    <w:rsid w:val="00DF0B6E"/>
    <w:rsid w:val="00DF15E0"/>
    <w:rsid w:val="00DF37A0"/>
    <w:rsid w:val="00E00FCB"/>
    <w:rsid w:val="00E01AB9"/>
    <w:rsid w:val="00E03A10"/>
    <w:rsid w:val="00E110E7"/>
    <w:rsid w:val="00E11B20"/>
    <w:rsid w:val="00E17FA2"/>
    <w:rsid w:val="00E22330"/>
    <w:rsid w:val="00E301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2D"/>
    <w:rsid w:val="00E446F1"/>
    <w:rsid w:val="00E46886"/>
    <w:rsid w:val="00E47AEF"/>
    <w:rsid w:val="00E53B75"/>
    <w:rsid w:val="00E54E3B"/>
    <w:rsid w:val="00E5560A"/>
    <w:rsid w:val="00E57565"/>
    <w:rsid w:val="00E57852"/>
    <w:rsid w:val="00E63838"/>
    <w:rsid w:val="00E64434"/>
    <w:rsid w:val="00E65E71"/>
    <w:rsid w:val="00E67C51"/>
    <w:rsid w:val="00E72EFC"/>
    <w:rsid w:val="00E758EC"/>
    <w:rsid w:val="00E81A82"/>
    <w:rsid w:val="00E8234C"/>
    <w:rsid w:val="00E83AA9"/>
    <w:rsid w:val="00E85928"/>
    <w:rsid w:val="00E87822"/>
    <w:rsid w:val="00E87ACD"/>
    <w:rsid w:val="00E90395"/>
    <w:rsid w:val="00E90E49"/>
    <w:rsid w:val="00E917F9"/>
    <w:rsid w:val="00E9291C"/>
    <w:rsid w:val="00E93FFE"/>
    <w:rsid w:val="00E94F8A"/>
    <w:rsid w:val="00E95E43"/>
    <w:rsid w:val="00EA16FB"/>
    <w:rsid w:val="00EA5DCC"/>
    <w:rsid w:val="00EA6D50"/>
    <w:rsid w:val="00EA7A41"/>
    <w:rsid w:val="00EB077B"/>
    <w:rsid w:val="00EB3485"/>
    <w:rsid w:val="00EB4EA2"/>
    <w:rsid w:val="00EC27C6"/>
    <w:rsid w:val="00EC2B1A"/>
    <w:rsid w:val="00EC4207"/>
    <w:rsid w:val="00EC5653"/>
    <w:rsid w:val="00EC71CE"/>
    <w:rsid w:val="00ED1006"/>
    <w:rsid w:val="00EE3A3F"/>
    <w:rsid w:val="00EF18FE"/>
    <w:rsid w:val="00EF23D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0F9"/>
    <w:rsid w:val="00F209B7"/>
    <w:rsid w:val="00F23660"/>
    <w:rsid w:val="00F2376F"/>
    <w:rsid w:val="00F243D8"/>
    <w:rsid w:val="00F24BC3"/>
    <w:rsid w:val="00F30828"/>
    <w:rsid w:val="00F30AE5"/>
    <w:rsid w:val="00F313D6"/>
    <w:rsid w:val="00F339F7"/>
    <w:rsid w:val="00F33CB4"/>
    <w:rsid w:val="00F40F0C"/>
    <w:rsid w:val="00F4102F"/>
    <w:rsid w:val="00F41B87"/>
    <w:rsid w:val="00F43C8F"/>
    <w:rsid w:val="00F4766C"/>
    <w:rsid w:val="00F507D1"/>
    <w:rsid w:val="00F519CE"/>
    <w:rsid w:val="00F51ADA"/>
    <w:rsid w:val="00F607C5"/>
    <w:rsid w:val="00F60DEA"/>
    <w:rsid w:val="00F6302A"/>
    <w:rsid w:val="00F6319B"/>
    <w:rsid w:val="00F64C2B"/>
    <w:rsid w:val="00F651BE"/>
    <w:rsid w:val="00F67F53"/>
    <w:rsid w:val="00F703BE"/>
    <w:rsid w:val="00F71F69"/>
    <w:rsid w:val="00F72B72"/>
    <w:rsid w:val="00F74BB9"/>
    <w:rsid w:val="00F75582"/>
    <w:rsid w:val="00F7597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C3"/>
    <w:rsid w:val="00FA2BB3"/>
    <w:rsid w:val="00FA6A7F"/>
    <w:rsid w:val="00FB4C80"/>
    <w:rsid w:val="00FB6A6A"/>
    <w:rsid w:val="00FC7429"/>
    <w:rsid w:val="00FC7531"/>
    <w:rsid w:val="00FD07F6"/>
    <w:rsid w:val="00FD1EC8"/>
    <w:rsid w:val="00FD47ED"/>
    <w:rsid w:val="00FD74DB"/>
    <w:rsid w:val="00FD7660"/>
    <w:rsid w:val="00FE0655"/>
    <w:rsid w:val="00FE2365"/>
    <w:rsid w:val="00FE3691"/>
    <w:rsid w:val="00FE4C7B"/>
    <w:rsid w:val="00FE7336"/>
    <w:rsid w:val="00FE787C"/>
    <w:rsid w:val="00FF1877"/>
    <w:rsid w:val="00FF3E49"/>
    <w:rsid w:val="00FF45A5"/>
    <w:rsid w:val="00FF550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39760D"/>
  <w15:chartTrackingRefBased/>
  <w15:docId w15:val="{8A37D72E-A80E-475E-B09D-51D9DEBB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7D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A47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47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47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47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47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A475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A475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475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A47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7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7DD4"/>
  </w:style>
  <w:style w:type="paragraph" w:styleId="TOC8">
    <w:name w:val="toc 8"/>
    <w:basedOn w:val="TOC1"/>
    <w:uiPriority w:val="39"/>
    <w:rsid w:val="00AA475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AA47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Figure">
    <w:name w:val="Figure"/>
    <w:basedOn w:val="Normal"/>
    <w:next w:val="Caption"/>
    <w:rsid w:val="00F97CC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7CC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AA4759"/>
    <w:pPr>
      <w:ind w:left="1701" w:hanging="1701"/>
    </w:pPr>
  </w:style>
  <w:style w:type="paragraph" w:styleId="TOC4">
    <w:name w:val="toc 4"/>
    <w:basedOn w:val="TOC3"/>
    <w:uiPriority w:val="39"/>
    <w:rsid w:val="00AA4759"/>
    <w:pPr>
      <w:ind w:left="1418" w:hanging="1418"/>
    </w:pPr>
  </w:style>
  <w:style w:type="paragraph" w:styleId="TOC3">
    <w:name w:val="toc 3"/>
    <w:basedOn w:val="TOC2"/>
    <w:uiPriority w:val="39"/>
    <w:rsid w:val="00AA4759"/>
    <w:pPr>
      <w:ind w:left="1134" w:hanging="1134"/>
    </w:pPr>
  </w:style>
  <w:style w:type="paragraph" w:styleId="TOC2">
    <w:name w:val="toc 2"/>
    <w:basedOn w:val="TOC1"/>
    <w:uiPriority w:val="39"/>
    <w:rsid w:val="00AA47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A4759"/>
    <w:pPr>
      <w:ind w:left="284"/>
    </w:pPr>
  </w:style>
  <w:style w:type="paragraph" w:styleId="Index1">
    <w:name w:val="index 1"/>
    <w:basedOn w:val="Normal"/>
    <w:rsid w:val="00AA4759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AA475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A4759"/>
    <w:pPr>
      <w:ind w:left="851"/>
    </w:pPr>
  </w:style>
  <w:style w:type="paragraph" w:styleId="ListNumber">
    <w:name w:val="List Number"/>
    <w:basedOn w:val="List"/>
    <w:rsid w:val="00AA4759"/>
  </w:style>
  <w:style w:type="paragraph" w:styleId="List">
    <w:name w:val="List"/>
    <w:basedOn w:val="Normal"/>
    <w:rsid w:val="00AA4759"/>
    <w:pPr>
      <w:ind w:left="568" w:hanging="284"/>
    </w:pPr>
  </w:style>
  <w:style w:type="paragraph" w:styleId="Header">
    <w:name w:val="header"/>
    <w:link w:val="HeaderChar"/>
    <w:rsid w:val="00AA475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AA47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A475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F97CC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A4759"/>
    <w:pPr>
      <w:ind w:left="1418" w:hanging="1418"/>
    </w:pPr>
  </w:style>
  <w:style w:type="paragraph" w:styleId="TOC6">
    <w:name w:val="toc 6"/>
    <w:basedOn w:val="TOC5"/>
    <w:next w:val="Normal"/>
    <w:uiPriority w:val="39"/>
    <w:rsid w:val="00AA4759"/>
    <w:pPr>
      <w:ind w:left="1985" w:hanging="1985"/>
    </w:pPr>
  </w:style>
  <w:style w:type="paragraph" w:styleId="TOC7">
    <w:name w:val="toc 7"/>
    <w:basedOn w:val="TOC6"/>
    <w:next w:val="Normal"/>
    <w:uiPriority w:val="39"/>
    <w:rsid w:val="00AA4759"/>
    <w:pPr>
      <w:ind w:left="2268" w:hanging="2268"/>
    </w:pPr>
  </w:style>
  <w:style w:type="paragraph" w:styleId="ListBullet2">
    <w:name w:val="List Bullet 2"/>
    <w:basedOn w:val="ListBullet"/>
    <w:rsid w:val="00AA4759"/>
    <w:pPr>
      <w:ind w:left="851"/>
    </w:pPr>
  </w:style>
  <w:style w:type="paragraph" w:styleId="ListBullet">
    <w:name w:val="List Bullet"/>
    <w:basedOn w:val="List"/>
    <w:rsid w:val="00AA4759"/>
  </w:style>
  <w:style w:type="paragraph" w:styleId="ListBullet3">
    <w:name w:val="List Bullet 3"/>
    <w:basedOn w:val="ListBullet2"/>
    <w:rsid w:val="00AA4759"/>
    <w:pPr>
      <w:ind w:left="1135"/>
    </w:pPr>
  </w:style>
  <w:style w:type="paragraph" w:customStyle="1" w:styleId="EQ">
    <w:name w:val="EQ"/>
    <w:basedOn w:val="Normal"/>
    <w:next w:val="Normal"/>
    <w:rsid w:val="00AA475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A4759"/>
    <w:pPr>
      <w:ind w:left="851"/>
    </w:pPr>
  </w:style>
  <w:style w:type="paragraph" w:styleId="List3">
    <w:name w:val="List 3"/>
    <w:basedOn w:val="List2"/>
    <w:rsid w:val="00AA4759"/>
    <w:pPr>
      <w:ind w:left="1135"/>
    </w:pPr>
  </w:style>
  <w:style w:type="paragraph" w:styleId="List4">
    <w:name w:val="List 4"/>
    <w:basedOn w:val="List3"/>
    <w:rsid w:val="00AA4759"/>
    <w:pPr>
      <w:ind w:left="1418"/>
    </w:pPr>
  </w:style>
  <w:style w:type="paragraph" w:styleId="List5">
    <w:name w:val="List 5"/>
    <w:basedOn w:val="List4"/>
    <w:rsid w:val="00AA4759"/>
    <w:pPr>
      <w:ind w:left="1702"/>
    </w:pPr>
  </w:style>
  <w:style w:type="paragraph" w:customStyle="1" w:styleId="EditorsNote">
    <w:name w:val="Editor's Note"/>
    <w:basedOn w:val="NO"/>
    <w:link w:val="EditorsNoteChar"/>
    <w:rsid w:val="00AA4759"/>
    <w:rPr>
      <w:color w:val="FF0000"/>
    </w:rPr>
  </w:style>
  <w:style w:type="paragraph" w:styleId="ListBullet4">
    <w:name w:val="List Bullet 4"/>
    <w:basedOn w:val="ListBullet3"/>
    <w:rsid w:val="00AA4759"/>
    <w:pPr>
      <w:ind w:left="1418"/>
    </w:pPr>
  </w:style>
  <w:style w:type="paragraph" w:styleId="ListBullet5">
    <w:name w:val="List Bullet 5"/>
    <w:basedOn w:val="ListBullet4"/>
    <w:rsid w:val="00AA4759"/>
    <w:pPr>
      <w:ind w:left="1702"/>
    </w:pPr>
  </w:style>
  <w:style w:type="paragraph" w:styleId="Footer">
    <w:name w:val="footer"/>
    <w:basedOn w:val="Header"/>
    <w:link w:val="FooterChar"/>
    <w:rsid w:val="00AA4759"/>
    <w:pPr>
      <w:jc w:val="center"/>
    </w:pPr>
    <w:rPr>
      <w:i/>
    </w:rPr>
  </w:style>
  <w:style w:type="paragraph" w:customStyle="1" w:styleId="Reference">
    <w:name w:val="Reference"/>
    <w:basedOn w:val="Normal"/>
    <w:rsid w:val="00F97CC3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qFormat/>
    <w:rsid w:val="00AA47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97CC3"/>
  </w:style>
  <w:style w:type="paragraph" w:styleId="BodyText">
    <w:name w:val="Body Text"/>
    <w:basedOn w:val="Normal"/>
    <w:link w:val="BodyTextChar"/>
    <w:rsid w:val="00F97CC3"/>
  </w:style>
  <w:style w:type="character" w:styleId="Hyperlink">
    <w:name w:val="Hyperlink"/>
    <w:uiPriority w:val="99"/>
    <w:rsid w:val="00AA4759"/>
    <w:rPr>
      <w:color w:val="0000FF"/>
      <w:u w:val="single"/>
    </w:rPr>
  </w:style>
  <w:style w:type="character" w:styleId="FollowedHyperlink">
    <w:name w:val="FollowedHyperlink"/>
    <w:rsid w:val="00AA4759"/>
    <w:rPr>
      <w:color w:val="800080"/>
      <w:u w:val="single"/>
    </w:rPr>
  </w:style>
  <w:style w:type="character" w:styleId="CommentReference">
    <w:name w:val="annotation reference"/>
    <w:uiPriority w:val="99"/>
    <w:qFormat/>
    <w:rsid w:val="00AA4759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A4759"/>
  </w:style>
  <w:style w:type="paragraph" w:styleId="CommentSubject">
    <w:name w:val="annotation subject"/>
    <w:basedOn w:val="CommentText"/>
    <w:next w:val="CommentText"/>
    <w:link w:val="CommentSubjectChar"/>
    <w:semiHidden/>
    <w:rsid w:val="00AA4759"/>
    <w:rPr>
      <w:b/>
      <w:bCs/>
    </w:rPr>
  </w:style>
  <w:style w:type="character" w:customStyle="1" w:styleId="Heading1Char">
    <w:name w:val="Heading 1 Char"/>
    <w:link w:val="Heading1"/>
    <w:rsid w:val="00AA4759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Char1"/>
    <w:qFormat/>
    <w:rsid w:val="00AA4759"/>
  </w:style>
  <w:style w:type="paragraph" w:customStyle="1" w:styleId="B2">
    <w:name w:val="B2"/>
    <w:basedOn w:val="List2"/>
    <w:link w:val="B2Char"/>
    <w:rsid w:val="00AA4759"/>
  </w:style>
  <w:style w:type="paragraph" w:customStyle="1" w:styleId="B3">
    <w:name w:val="B3"/>
    <w:basedOn w:val="List3"/>
    <w:link w:val="B3Char2"/>
    <w:rsid w:val="00AA4759"/>
  </w:style>
  <w:style w:type="paragraph" w:customStyle="1" w:styleId="B4">
    <w:name w:val="B4"/>
    <w:basedOn w:val="List4"/>
    <w:link w:val="B4Char"/>
    <w:rsid w:val="00AA4759"/>
  </w:style>
  <w:style w:type="paragraph" w:customStyle="1" w:styleId="Proposal">
    <w:name w:val="Proposal"/>
    <w:basedOn w:val="Normal"/>
    <w:rsid w:val="00F97CC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97CC3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AA4759"/>
  </w:style>
  <w:style w:type="paragraph" w:customStyle="1" w:styleId="EX">
    <w:name w:val="EX"/>
    <w:basedOn w:val="Normal"/>
    <w:rsid w:val="00AA4759"/>
    <w:pPr>
      <w:keepLines/>
      <w:ind w:left="1702" w:hanging="1418"/>
    </w:pPr>
  </w:style>
  <w:style w:type="paragraph" w:customStyle="1" w:styleId="EW">
    <w:name w:val="EW"/>
    <w:basedOn w:val="EX"/>
    <w:rsid w:val="00AA4759"/>
    <w:pPr>
      <w:spacing w:after="0"/>
    </w:pPr>
  </w:style>
  <w:style w:type="paragraph" w:customStyle="1" w:styleId="TAL">
    <w:name w:val="TAL"/>
    <w:basedOn w:val="Normal"/>
    <w:link w:val="TALCar"/>
    <w:qFormat/>
    <w:rsid w:val="00AA4759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A4759"/>
    <w:pPr>
      <w:jc w:val="center"/>
    </w:pPr>
  </w:style>
  <w:style w:type="paragraph" w:customStyle="1" w:styleId="TAH">
    <w:name w:val="TAH"/>
    <w:basedOn w:val="TAC"/>
    <w:link w:val="TAHCar"/>
    <w:qFormat/>
    <w:rsid w:val="00AA4759"/>
    <w:rPr>
      <w:b/>
    </w:rPr>
  </w:style>
  <w:style w:type="paragraph" w:customStyle="1" w:styleId="TAN">
    <w:name w:val="TAN"/>
    <w:basedOn w:val="TAL"/>
    <w:rsid w:val="00AA4759"/>
    <w:pPr>
      <w:ind w:left="851" w:hanging="851"/>
    </w:pPr>
  </w:style>
  <w:style w:type="paragraph" w:customStyle="1" w:styleId="TAR">
    <w:name w:val="TAR"/>
    <w:basedOn w:val="TAL"/>
    <w:rsid w:val="00AA4759"/>
    <w:pPr>
      <w:jc w:val="right"/>
    </w:pPr>
  </w:style>
  <w:style w:type="paragraph" w:customStyle="1" w:styleId="TH">
    <w:name w:val="TH"/>
    <w:basedOn w:val="Normal"/>
    <w:link w:val="THChar"/>
    <w:qFormat/>
    <w:rsid w:val="00AA47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A475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A4759"/>
    <w:pPr>
      <w:outlineLvl w:val="9"/>
    </w:pPr>
  </w:style>
  <w:style w:type="paragraph" w:customStyle="1" w:styleId="ZA">
    <w:name w:val="ZA"/>
    <w:rsid w:val="00AA47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A47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A47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AA47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character" w:customStyle="1" w:styleId="ZGSM">
    <w:name w:val="ZGSM"/>
    <w:rsid w:val="00AA4759"/>
  </w:style>
  <w:style w:type="paragraph" w:customStyle="1" w:styleId="ZH">
    <w:name w:val="ZH"/>
    <w:rsid w:val="00AA475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T">
    <w:name w:val="ZT"/>
    <w:rsid w:val="00AA47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A475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47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A4759"/>
    <w:pPr>
      <w:framePr w:wrap="notBeside" w:y="16161"/>
    </w:pPr>
  </w:style>
  <w:style w:type="paragraph" w:customStyle="1" w:styleId="FP">
    <w:name w:val="FP"/>
    <w:basedOn w:val="Normal"/>
    <w:rsid w:val="00AA4759"/>
    <w:pPr>
      <w:spacing w:after="0"/>
    </w:pPr>
  </w:style>
  <w:style w:type="paragraph" w:customStyle="1" w:styleId="Observation">
    <w:name w:val="Observation"/>
    <w:basedOn w:val="Proposal"/>
    <w:qFormat/>
    <w:rsid w:val="00F97CC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CC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97CC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97CC3"/>
    <w:rPr>
      <w:rFonts w:ascii="Arial" w:eastAsia="MS Mincho" w:hAnsi="Arial"/>
      <w:szCs w:val="24"/>
      <w:lang w:val="en-GB" w:eastAsia="en-GB"/>
    </w:rPr>
  </w:style>
  <w:style w:type="paragraph" w:customStyle="1" w:styleId="CRStyleform">
    <w:name w:val="CR Style form"/>
    <w:basedOn w:val="CRstyle"/>
    <w:qFormat/>
    <w:rsid w:val="00AA4759"/>
  </w:style>
  <w:style w:type="character" w:customStyle="1" w:styleId="B1Char1">
    <w:name w:val="B1 Char1"/>
    <w:link w:val="B1"/>
    <w:qFormat/>
    <w:rsid w:val="00AA475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A4759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AA4759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AA4759"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sid w:val="00AA4759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AA4759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A4759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AA4759"/>
    <w:pPr>
      <w:ind w:left="2269"/>
    </w:pPr>
  </w:style>
  <w:style w:type="character" w:customStyle="1" w:styleId="B7Char">
    <w:name w:val="B7 Char"/>
    <w:link w:val="B7"/>
    <w:rsid w:val="00AA4759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AA4759"/>
    <w:pPr>
      <w:ind w:left="2552"/>
    </w:pPr>
  </w:style>
  <w:style w:type="paragraph" w:customStyle="1" w:styleId="B9">
    <w:name w:val="B9"/>
    <w:basedOn w:val="B8"/>
    <w:qFormat/>
    <w:rsid w:val="00AA4759"/>
    <w:pPr>
      <w:ind w:left="2836"/>
    </w:pPr>
  </w:style>
  <w:style w:type="character" w:customStyle="1" w:styleId="BalloonTextChar">
    <w:name w:val="Balloon Text Char"/>
    <w:link w:val="BalloonText"/>
    <w:semiHidden/>
    <w:rsid w:val="00AA4759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AA475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A4759"/>
    <w:rPr>
      <w:rFonts w:ascii="Times New Roman" w:hAnsi="Times New Roman"/>
      <w:b/>
      <w:bCs/>
      <w:lang w:val="en-GB"/>
    </w:rPr>
  </w:style>
  <w:style w:type="paragraph" w:customStyle="1" w:styleId="CRCoverPage">
    <w:name w:val="CR Cover Page"/>
    <w:rsid w:val="00AA4759"/>
    <w:pPr>
      <w:spacing w:after="120"/>
    </w:pPr>
    <w:rPr>
      <w:rFonts w:ascii="Arial" w:hAnsi="Arial"/>
      <w:lang w:val="en-GB"/>
    </w:rPr>
  </w:style>
  <w:style w:type="paragraph" w:customStyle="1" w:styleId="CRstyle">
    <w:name w:val="CR style"/>
    <w:basedOn w:val="CRCoverPage"/>
    <w:qFormat/>
    <w:rsid w:val="00AA4759"/>
    <w:pPr>
      <w:spacing w:after="0"/>
      <w:jc w:val="right"/>
    </w:pPr>
    <w:rPr>
      <w:b/>
      <w:noProof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AA4759"/>
    <w:rPr>
      <w:rFonts w:ascii="Tahoma" w:hAnsi="Tahoma" w:cs="Tahoma"/>
      <w:shd w:val="clear" w:color="auto" w:fill="000080"/>
      <w:lang w:val="en-GB"/>
    </w:rPr>
  </w:style>
  <w:style w:type="paragraph" w:customStyle="1" w:styleId="NO">
    <w:name w:val="NO"/>
    <w:basedOn w:val="Normal"/>
    <w:link w:val="NOChar"/>
    <w:rsid w:val="00AA4759"/>
    <w:pPr>
      <w:keepLines/>
      <w:ind w:left="1135" w:hanging="851"/>
    </w:pPr>
  </w:style>
  <w:style w:type="character" w:customStyle="1" w:styleId="NOChar">
    <w:name w:val="NO Char"/>
    <w:link w:val="NO"/>
    <w:qFormat/>
    <w:rsid w:val="00AA475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AA4759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AA4759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AA4759"/>
    <w:rPr>
      <w:rFonts w:ascii="Arial" w:hAnsi="Arial"/>
      <w:b/>
      <w:i/>
      <w:noProof/>
      <w:sz w:val="18"/>
      <w:lang w:val="en-GB"/>
    </w:rPr>
  </w:style>
  <w:style w:type="character" w:customStyle="1" w:styleId="FootnoteTextChar">
    <w:name w:val="Footnote Text Char"/>
    <w:link w:val="FootnoteText"/>
    <w:rsid w:val="00AA4759"/>
    <w:rPr>
      <w:rFonts w:ascii="Times New Roman" w:hAnsi="Times New Roman"/>
      <w:sz w:val="16"/>
      <w:lang w:val="en-GB"/>
    </w:rPr>
  </w:style>
  <w:style w:type="character" w:customStyle="1" w:styleId="Heading2Char">
    <w:name w:val="Heading 2 Char"/>
    <w:link w:val="Heading2"/>
    <w:rsid w:val="00AA4759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A475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A475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A4759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AA475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A475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A475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A475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A4759"/>
    <w:rPr>
      <w:rFonts w:ascii="Arial" w:hAnsi="Arial"/>
      <w:sz w:val="36"/>
      <w:lang w:val="en-GB"/>
    </w:rPr>
  </w:style>
  <w:style w:type="paragraph" w:customStyle="1" w:styleId="LD">
    <w:name w:val="LD"/>
    <w:rsid w:val="00AA475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F">
    <w:name w:val="NF"/>
    <w:basedOn w:val="NO"/>
    <w:rsid w:val="00AA475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A4759"/>
    <w:pPr>
      <w:spacing w:after="0"/>
    </w:pPr>
  </w:style>
  <w:style w:type="paragraph" w:customStyle="1" w:styleId="PL">
    <w:name w:val="PL"/>
    <w:link w:val="PLChar"/>
    <w:qFormat/>
    <w:rsid w:val="00AA4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AA4759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qFormat/>
    <w:rsid w:val="00AA47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AA475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AA4759"/>
    <w:rPr>
      <w:rFonts w:ascii="Arial" w:hAnsi="Arial"/>
      <w:b/>
      <w:sz w:val="18"/>
      <w:lang w:val="en-GB"/>
    </w:rPr>
  </w:style>
  <w:style w:type="paragraph" w:customStyle="1" w:styleId="tdoc-header">
    <w:name w:val="tdoc-header"/>
    <w:rsid w:val="00AA4759"/>
    <w:rPr>
      <w:rFonts w:ascii="Arial" w:hAnsi="Arial"/>
      <w:noProof/>
      <w:sz w:val="24"/>
      <w:lang w:val="en-GB"/>
    </w:rPr>
  </w:style>
  <w:style w:type="character" w:customStyle="1" w:styleId="THChar">
    <w:name w:val="TH Char"/>
    <w:link w:val="TH"/>
    <w:qFormat/>
    <w:rsid w:val="00AA4759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A475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65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3F904-DBCE-417E-B1EA-F2D4E7DD5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8505CB-FFC7-4652-A379-5834C624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4</Pages>
  <Words>1565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Oumer</cp:lastModifiedBy>
  <cp:revision>60</cp:revision>
  <cp:lastPrinted>2008-01-31T16:09:00Z</cp:lastPrinted>
  <dcterms:created xsi:type="dcterms:W3CDTF">2019-05-29T11:41:00Z</dcterms:created>
  <dcterms:modified xsi:type="dcterms:W3CDTF">2019-10-03T16:44:00Z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c5e509de-10f1-433b-89d0-dfab7dca71e5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4608">
    <vt:lpwstr>141</vt:lpwstr>
  </property>
  <property fmtid="{D5CDD505-2E9C-101B-9397-08002B2CF9AE}" pid="17" name="AuthorIds_UIVersion_5632">
    <vt:lpwstr>141</vt:lpwstr>
  </property>
</Properties>
</file>